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531" w:rsidRDefault="00705531" w:rsidP="00306186">
      <w:pPr>
        <w:pStyle w:val="NumPara1"/>
        <w:numPr>
          <w:ilvl w:val="0"/>
          <w:numId w:val="0"/>
        </w:numPr>
      </w:pPr>
      <w:r>
        <w:t xml:space="preserve"> </w:t>
      </w:r>
    </w:p>
    <w:tbl>
      <w:tblPr>
        <w:tblStyle w:val="TableGrid"/>
        <w:tblW w:w="19152" w:type="dxa"/>
        <w:tblLook w:val="04A0" w:firstRow="1" w:lastRow="0" w:firstColumn="1" w:lastColumn="0" w:noHBand="0" w:noVBand="1"/>
      </w:tblPr>
      <w:tblGrid>
        <w:gridCol w:w="9576"/>
        <w:gridCol w:w="9576"/>
      </w:tblGrid>
      <w:tr w:rsidR="00E63325" w:rsidTr="00E63325">
        <w:tc>
          <w:tcPr>
            <w:tcW w:w="9576" w:type="dxa"/>
          </w:tcPr>
          <w:p w:rsidR="00E63325" w:rsidRDefault="00E63325" w:rsidP="00784259">
            <w:pPr>
              <w:spacing w:line="360" w:lineRule="atLeast"/>
              <w:ind w:firstLine="720"/>
              <w:rPr>
                <w:rFonts w:eastAsia="Calibri"/>
              </w:rPr>
            </w:pPr>
            <w:r w:rsidRPr="00677990">
              <w:rPr>
                <w:rFonts w:eastAsia="Calibri"/>
                <w:b/>
              </w:rPr>
              <w:t>A trust is a mechanism used to transfer property.</w:t>
            </w:r>
            <w:r w:rsidRPr="00E27F6C">
              <w:rPr>
                <w:rFonts w:eastAsia="Calibri"/>
              </w:rPr>
              <w:t xml:space="preserve"> Bradley v. Shaffer, 535 S.W.3d 242, 247 (Tex. App.—Eastland 2017, no pet.); Hallmark v. Port/Cooper-T. Smith Stevedoring Co., 907 S.W.2d 586, 589 (Tex. App.—Corpus Christi 1995, no writ).</w:t>
            </w:r>
          </w:p>
        </w:tc>
        <w:tc>
          <w:tcPr>
            <w:tcW w:w="9576" w:type="dxa"/>
          </w:tcPr>
          <w:p w:rsidR="00E63325" w:rsidRDefault="00E63325" w:rsidP="00E63325">
            <w:pPr>
              <w:spacing w:line="360" w:lineRule="atLeast"/>
            </w:pPr>
          </w:p>
        </w:tc>
      </w:tr>
    </w:tbl>
    <w:p w:rsidR="00E63325" w:rsidRPr="00890A6E" w:rsidRDefault="00E63325" w:rsidP="00677990">
      <w:pPr>
        <w:pStyle w:val="Heading1"/>
      </w:pPr>
      <w:r w:rsidRPr="00890A6E">
        <w:t>The Brunsting Trust</w:t>
      </w:r>
    </w:p>
    <w:p w:rsidR="00E63325" w:rsidRDefault="00E63325" w:rsidP="00677990">
      <w:pPr>
        <w:spacing w:line="360" w:lineRule="atLeast"/>
        <w:ind w:firstLine="720"/>
      </w:pPr>
      <w:r w:rsidRPr="00DF38B4">
        <w:rPr>
          <w:rFonts w:eastAsia="Calibri"/>
        </w:rPr>
        <w:t xml:space="preserve">Elmer and Nelva Brunsting created a family trust in </w:t>
      </w:r>
      <w:r>
        <w:rPr>
          <w:rFonts w:eastAsia="Calibri"/>
        </w:rPr>
        <w:t>1996</w:t>
      </w:r>
      <w:r>
        <w:rPr>
          <w:rStyle w:val="FootnoteReference"/>
          <w:rFonts w:eastAsia="Calibri"/>
        </w:rPr>
        <w:footnoteReference w:id="1"/>
      </w:r>
      <w:r>
        <w:rPr>
          <w:rFonts w:eastAsia="Calibri"/>
        </w:rPr>
        <w:t xml:space="preserve">, in </w:t>
      </w:r>
      <w:r w:rsidRPr="00DF38B4">
        <w:rPr>
          <w:rFonts w:eastAsia="Calibri"/>
        </w:rPr>
        <w:t xml:space="preserve">which they made each of their five </w:t>
      </w:r>
      <w:r>
        <w:rPr>
          <w:rFonts w:eastAsia="Calibri"/>
        </w:rPr>
        <w:t>I</w:t>
      </w:r>
      <w:r w:rsidRPr="00DF38B4">
        <w:rPr>
          <w:rFonts w:eastAsia="Calibri"/>
        </w:rPr>
        <w:t>ssues</w:t>
      </w:r>
      <w:r w:rsidRPr="00DF38B4">
        <w:rPr>
          <w:rFonts w:eastAsia="Calibri"/>
          <w:vertAlign w:val="superscript"/>
        </w:rPr>
        <w:footnoteReference w:id="2"/>
      </w:r>
      <w:r w:rsidRPr="00DF38B4">
        <w:rPr>
          <w:rFonts w:eastAsia="Calibri"/>
        </w:rPr>
        <w:t xml:space="preserve"> a remainder beneficiary with equal property interests</w:t>
      </w:r>
      <w:r>
        <w:rPr>
          <w:rStyle w:val="FootnoteReference"/>
          <w:rFonts w:eastAsia="Calibri"/>
        </w:rPr>
        <w:footnoteReference w:id="3"/>
      </w:r>
      <w:r w:rsidRPr="00DF38B4">
        <w:rPr>
          <w:rFonts w:eastAsia="Calibri"/>
        </w:rPr>
        <w:t>. Elmer and Nelva Brunsting</w:t>
      </w:r>
      <w:r>
        <w:rPr>
          <w:rFonts w:eastAsia="Calibri"/>
        </w:rPr>
        <w:t xml:space="preserve"> restated their trust in 2005 and </w:t>
      </w:r>
      <w:r w:rsidRPr="00DF38B4">
        <w:rPr>
          <w:rFonts w:eastAsia="Calibri"/>
        </w:rPr>
        <w:t>Elmer and Nelva Brunsting</w:t>
      </w:r>
      <w:r>
        <w:rPr>
          <w:rFonts w:eastAsia="Calibri"/>
        </w:rPr>
        <w:t xml:space="preserve"> amended their trust in 2007.</w:t>
      </w:r>
      <w:r w:rsidR="00677990">
        <w:rPr>
          <w:rFonts w:eastAsia="Calibri"/>
        </w:rPr>
        <w:t xml:space="preserve"> </w:t>
      </w:r>
      <w:r>
        <w:t>If a</w:t>
      </w:r>
      <w:r w:rsidRPr="00DF38B4">
        <w:t xml:space="preserve"> trust is a mechanism used to transfer property</w:t>
      </w:r>
      <w:r>
        <w:t>, it should be more than obvious that Elmer and Nelva intended to convey property and in examining the trust agreement, it becomes apparent that Elmer and Nelva intended to convey property to their five issues in equal proportions.</w:t>
      </w:r>
    </w:p>
    <w:p w:rsidR="00E63325" w:rsidRDefault="00E63325" w:rsidP="00E63325">
      <w:pPr>
        <w:spacing w:line="360" w:lineRule="atLeast"/>
        <w:ind w:firstLine="720"/>
        <w:rPr>
          <w:rFonts w:eastAsia="Calibri"/>
        </w:rPr>
      </w:pPr>
      <w:r w:rsidRPr="00DF38B4">
        <w:rPr>
          <w:rFonts w:eastAsia="Calibri"/>
        </w:rPr>
        <w:t xml:space="preserve">Elmer Brunsting passed April 1, 2009 and Nelva Brunsting passed November 11, 2011. </w:t>
      </w:r>
      <w:r w:rsidR="00F22058" w:rsidRPr="00DF38B4">
        <w:rPr>
          <w:rFonts w:eastAsia="Calibri"/>
        </w:rPr>
        <w:t>Rights</w:t>
      </w:r>
      <w:r w:rsidRPr="00DF38B4">
        <w:rPr>
          <w:rFonts w:eastAsia="Calibri"/>
        </w:rPr>
        <w:t xml:space="preserve"> in entrusted property vested in the </w:t>
      </w:r>
      <w:r w:rsidR="00C84724" w:rsidRPr="00DF38B4">
        <w:rPr>
          <w:rFonts w:eastAsia="Calibri"/>
        </w:rPr>
        <w:t xml:space="preserve">Remainder </w:t>
      </w:r>
      <w:r w:rsidR="00C84724">
        <w:rPr>
          <w:rFonts w:eastAsia="Calibri"/>
        </w:rPr>
        <w:t>B</w:t>
      </w:r>
      <w:r w:rsidRPr="00DF38B4">
        <w:rPr>
          <w:rFonts w:eastAsia="Calibri"/>
        </w:rPr>
        <w:t>eneficiar</w:t>
      </w:r>
      <w:r w:rsidR="00C84724">
        <w:rPr>
          <w:rFonts w:eastAsia="Calibri"/>
        </w:rPr>
        <w:t>ies</w:t>
      </w:r>
      <w:r w:rsidRPr="00DF38B4">
        <w:rPr>
          <w:rFonts w:eastAsia="Calibri"/>
        </w:rPr>
        <w:t xml:space="preserve"> at the passing of the second Settlor, both under the private law of the trust</w:t>
      </w:r>
      <w:r>
        <w:rPr>
          <w:rStyle w:val="FootnoteReference"/>
          <w:rFonts w:eastAsia="Calibri"/>
        </w:rPr>
        <w:footnoteReference w:id="4"/>
      </w:r>
      <w:r w:rsidRPr="00DF38B4">
        <w:rPr>
          <w:rFonts w:eastAsia="Calibri"/>
        </w:rPr>
        <w:t xml:space="preserve"> and, under the public law of Texas.</w:t>
      </w:r>
      <w:r>
        <w:rPr>
          <w:rStyle w:val="FootnoteReference"/>
          <w:rFonts w:eastAsia="Calibri"/>
        </w:rPr>
        <w:footnoteReference w:id="5"/>
      </w:r>
    </w:p>
    <w:p w:rsidR="00E63325" w:rsidRDefault="00E63325" w:rsidP="00E63325">
      <w:pPr>
        <w:spacing w:line="360" w:lineRule="atLeast"/>
        <w:ind w:firstLine="720"/>
        <w:rPr>
          <w:rFonts w:eastAsia="Calibri"/>
        </w:rPr>
      </w:pPr>
      <w:r w:rsidRPr="00DF38B4">
        <w:rPr>
          <w:rFonts w:eastAsia="Calibri"/>
        </w:rPr>
        <w:t>That was eight years ago and property owner Candace Curtis</w:t>
      </w:r>
      <w:r w:rsidR="003B11B2">
        <w:rPr>
          <w:rFonts w:eastAsia="Calibri"/>
        </w:rPr>
        <w:t xml:space="preserve">, along with </w:t>
      </w:r>
      <w:proofErr w:type="gramStart"/>
      <w:r w:rsidR="003B11B2">
        <w:rPr>
          <w:rFonts w:eastAsia="Calibri"/>
        </w:rPr>
        <w:t>brother</w:t>
      </w:r>
      <w:proofErr w:type="gramEnd"/>
      <w:r w:rsidR="003B11B2">
        <w:rPr>
          <w:rFonts w:eastAsia="Calibri"/>
        </w:rPr>
        <w:t xml:space="preserve"> Carl Brunsting and sister Carole Brunsting, </w:t>
      </w:r>
      <w:r w:rsidRPr="00DF38B4">
        <w:rPr>
          <w:rFonts w:eastAsia="Calibri"/>
        </w:rPr>
        <w:t>ha</w:t>
      </w:r>
      <w:r w:rsidR="003B11B2">
        <w:rPr>
          <w:rFonts w:eastAsia="Calibri"/>
        </w:rPr>
        <w:t>ve</w:t>
      </w:r>
      <w:r w:rsidRPr="00DF38B4">
        <w:rPr>
          <w:rFonts w:eastAsia="Calibri"/>
        </w:rPr>
        <w:t xml:space="preserve"> not seen one dime of </w:t>
      </w:r>
      <w:r w:rsidR="003B11B2">
        <w:rPr>
          <w:rFonts w:eastAsia="Calibri"/>
        </w:rPr>
        <w:t>t</w:t>
      </w:r>
      <w:r w:rsidRPr="00DF38B4">
        <w:rPr>
          <w:rFonts w:eastAsia="Calibri"/>
        </w:rPr>
        <w:t>he</w:t>
      </w:r>
      <w:r w:rsidR="003B11B2">
        <w:rPr>
          <w:rFonts w:eastAsia="Calibri"/>
        </w:rPr>
        <w:t>i</w:t>
      </w:r>
      <w:r w:rsidRPr="00DF38B4">
        <w:rPr>
          <w:rFonts w:eastAsia="Calibri"/>
        </w:rPr>
        <w:t>r beneficial interest in that trust</w:t>
      </w:r>
      <w:r>
        <w:rPr>
          <w:rFonts w:eastAsia="Calibri"/>
        </w:rPr>
        <w:t>. I</w:t>
      </w:r>
      <w:r w:rsidRPr="00DF38B4">
        <w:rPr>
          <w:rFonts w:eastAsia="Calibri"/>
        </w:rPr>
        <w:t>nstead</w:t>
      </w:r>
      <w:r>
        <w:rPr>
          <w:rFonts w:eastAsia="Calibri"/>
        </w:rPr>
        <w:t xml:space="preserve">, trust beneficiary Curtis </w:t>
      </w:r>
      <w:r w:rsidRPr="00DF38B4">
        <w:rPr>
          <w:rFonts w:eastAsia="Calibri"/>
        </w:rPr>
        <w:t>has been vilified, threatened, demeaned, robbed, defrauded</w:t>
      </w:r>
      <w:r w:rsidR="00037BA7">
        <w:rPr>
          <w:rFonts w:eastAsia="Calibri"/>
        </w:rPr>
        <w:t>, obstructed</w:t>
      </w:r>
      <w:r w:rsidRPr="00DF38B4">
        <w:rPr>
          <w:rFonts w:eastAsia="Calibri"/>
        </w:rPr>
        <w:t xml:space="preserve"> and sanctioned while incurring substantial expense in her efforts to obtain possession </w:t>
      </w:r>
      <w:r>
        <w:rPr>
          <w:rFonts w:eastAsia="Calibri"/>
        </w:rPr>
        <w:t xml:space="preserve">and enjoyment </w:t>
      </w:r>
      <w:r w:rsidRPr="00DF38B4">
        <w:rPr>
          <w:rFonts w:eastAsia="Calibri"/>
        </w:rPr>
        <w:t xml:space="preserve">of the property </w:t>
      </w:r>
      <w:r>
        <w:rPr>
          <w:rFonts w:eastAsia="Calibri"/>
        </w:rPr>
        <w:t>to which she has been vested for more than eight years</w:t>
      </w:r>
      <w:r w:rsidRPr="00DF38B4">
        <w:rPr>
          <w:rFonts w:eastAsia="Calibri"/>
        </w:rPr>
        <w:t>.</w:t>
      </w:r>
    </w:p>
    <w:p w:rsidR="00F22058" w:rsidRDefault="00B90310" w:rsidP="00B90310">
      <w:pPr>
        <w:spacing w:line="360" w:lineRule="atLeast"/>
        <w:ind w:firstLine="720"/>
        <w:rPr>
          <w:b/>
        </w:rPr>
      </w:pPr>
      <w:r>
        <w:t xml:space="preserve">If </w:t>
      </w:r>
      <w:r w:rsidRPr="00DF38B4">
        <w:rPr>
          <w:rFonts w:eastAsia="Calibri"/>
        </w:rPr>
        <w:t xml:space="preserve">Elmer and Nelva </w:t>
      </w:r>
      <w:r>
        <w:rPr>
          <w:rFonts w:eastAsia="Calibri"/>
        </w:rPr>
        <w:t>created a trust with the intention of transferring family generational assets to their five issues and this has not occurred</w:t>
      </w:r>
      <w:r>
        <w:rPr>
          <w:rFonts w:eastAsia="Calibri"/>
        </w:rPr>
        <w:t xml:space="preserve"> in all of this time,</w:t>
      </w:r>
      <w:r>
        <w:rPr>
          <w:rFonts w:eastAsia="Calibri"/>
        </w:rPr>
        <w:t xml:space="preserve"> </w:t>
      </w:r>
      <w:r>
        <w:rPr>
          <w:rFonts w:eastAsia="Calibri"/>
        </w:rPr>
        <w:t>t</w:t>
      </w:r>
      <w:r>
        <w:rPr>
          <w:rFonts w:eastAsia="Calibri"/>
        </w:rPr>
        <w:t xml:space="preserve">he obvious question is </w:t>
      </w:r>
      <w:r w:rsidRPr="00037BA7">
        <w:rPr>
          <w:rFonts w:eastAsia="Calibri"/>
          <w:b/>
        </w:rPr>
        <w:t>w</w:t>
      </w:r>
      <w:r w:rsidRPr="00037BA7">
        <w:rPr>
          <w:b/>
        </w:rPr>
        <w:t>ho or what has frustrated the Settlors intentions?</w:t>
      </w:r>
    </w:p>
    <w:p w:rsidR="003B11B2" w:rsidRDefault="003B11B2" w:rsidP="003B11B2">
      <w:pPr>
        <w:rPr>
          <w:szCs w:val="24"/>
        </w:rPr>
      </w:pPr>
      <w:r>
        <w:rPr>
          <w:szCs w:val="24"/>
        </w:rPr>
        <w:lastRenderedPageBreak/>
        <w:t>Exhibits</w:t>
      </w:r>
    </w:p>
    <w:p w:rsidR="003B11B2" w:rsidRPr="00E0518D" w:rsidRDefault="003B11B2" w:rsidP="003B11B2">
      <w:pPr>
        <w:pStyle w:val="NumPara1"/>
        <w:contextualSpacing/>
      </w:pPr>
      <w:r>
        <w:t xml:space="preserve">(Exhibit 1) </w:t>
      </w:r>
      <w:r w:rsidRPr="00E0518D">
        <w:t xml:space="preserve">February 27, 2012 PRO SE PLAINTIFF CANDACE CURTIS (Curtis) filed a Breach of Fiduciary action against alleged co-trustees Anita and Amy Brunsting in the Southern District of Texas under diversity jurisdiction. The federal court dismissed the action under the probate exception on March 8, 2012 and Curtis filed timely notice of appeal. </w:t>
      </w:r>
    </w:p>
    <w:p w:rsidR="003B11B2" w:rsidRDefault="003B11B2" w:rsidP="003B11B2">
      <w:pPr>
        <w:pStyle w:val="NumPara1"/>
        <w:contextualSpacing/>
      </w:pPr>
      <w:r>
        <w:t xml:space="preserve">(Exhibit 2) </w:t>
      </w:r>
      <w:r w:rsidRPr="00E0518D">
        <w:t>Curtis v. Brunsting 704 F.3d 406 (5th Cir. 2013)</w:t>
      </w:r>
      <w:r w:rsidRPr="00724FE9">
        <w:t xml:space="preserve"> positively cited 28 times </w:t>
      </w:r>
    </w:p>
    <w:p w:rsidR="003B11B2" w:rsidRDefault="003B11B2" w:rsidP="003B11B2">
      <w:pPr>
        <w:pStyle w:val="NumPara1"/>
        <w:numPr>
          <w:ilvl w:val="0"/>
          <w:numId w:val="0"/>
        </w:numPr>
        <w:ind w:left="720"/>
      </w:pPr>
      <w:r w:rsidRPr="00724FE9">
        <w:t xml:space="preserve">On </w:t>
      </w:r>
      <w:r w:rsidRPr="00F72E9A">
        <w:rPr>
          <w:u w:val="single"/>
        </w:rPr>
        <w:t>January 9, 2013</w:t>
      </w:r>
      <w:r w:rsidRPr="00724FE9">
        <w:t xml:space="preserve"> the Fifth Circuit Court of Appeal agreed with pro se appellant Curtis in a unanimous opinion and reversed and remanded for further proceedings. Curtis Breach of Fiduciary action is not a probate matter. </w:t>
      </w:r>
    </w:p>
    <w:p w:rsidR="003B11B2" w:rsidRPr="00E63325" w:rsidRDefault="003B11B2" w:rsidP="003B11B2">
      <w:pPr>
        <w:pStyle w:val="Bayless"/>
        <w:rPr>
          <w:color w:val="C45911" w:themeColor="accent2" w:themeShade="BF"/>
        </w:rPr>
      </w:pPr>
      <w:r w:rsidRPr="00E63325">
        <w:rPr>
          <w:color w:val="C45911" w:themeColor="accent2" w:themeShade="BF"/>
        </w:rPr>
        <w:t xml:space="preserve">January 29, 2013 While Curtis federal lawsuit was in transit between courts attorney Bayless filed a related action in the state District Court against the estate planning attorneys. </w:t>
      </w:r>
      <w:r w:rsidR="009D58E6">
        <w:rPr>
          <w:color w:val="C45911" w:themeColor="accent2" w:themeShade="BF"/>
        </w:rPr>
        <w:t>“</w:t>
      </w:r>
      <w:r w:rsidRPr="00E63325">
        <w:rPr>
          <w:color w:val="C45911" w:themeColor="accent2" w:themeShade="BF"/>
        </w:rPr>
        <w:t xml:space="preserve">Carl as executor </w:t>
      </w:r>
      <w:proofErr w:type="spellStart"/>
      <w:r w:rsidRPr="00E63325">
        <w:rPr>
          <w:color w:val="C45911" w:themeColor="accent2" w:themeShade="BF"/>
        </w:rPr>
        <w:t>vs</w:t>
      </w:r>
      <w:proofErr w:type="spellEnd"/>
      <w:r w:rsidRPr="00E63325">
        <w:rPr>
          <w:color w:val="C45911" w:themeColor="accent2" w:themeShade="BF"/>
        </w:rPr>
        <w:t xml:space="preserve"> Vacek &amp; Freed et al.</w:t>
      </w:r>
      <w:r w:rsidR="009D58E6">
        <w:rPr>
          <w:color w:val="C45911" w:themeColor="accent2" w:themeShade="BF"/>
        </w:rPr>
        <w:t>”</w:t>
      </w:r>
    </w:p>
    <w:p w:rsidR="003B11B2" w:rsidRDefault="003B11B2" w:rsidP="003B11B2">
      <w:pPr>
        <w:pStyle w:val="NumPara1"/>
        <w:contextualSpacing/>
      </w:pPr>
      <w:r>
        <w:t xml:space="preserve">(Exhibit 3) Hearing was had </w:t>
      </w:r>
      <w:r w:rsidRPr="008B0C03">
        <w:rPr>
          <w:u w:val="single"/>
        </w:rPr>
        <w:t>April 9, 2013</w:t>
      </w:r>
      <w:r>
        <w:t xml:space="preserve"> and </w:t>
      </w:r>
    </w:p>
    <w:p w:rsidR="003B11B2" w:rsidRPr="00E63325" w:rsidRDefault="003B11B2" w:rsidP="003B11B2">
      <w:pPr>
        <w:pStyle w:val="Bayless"/>
        <w:rPr>
          <w:color w:val="C45911" w:themeColor="accent2" w:themeShade="BF"/>
        </w:rPr>
      </w:pPr>
      <w:r w:rsidRPr="00E63325">
        <w:rPr>
          <w:color w:val="C45911" w:themeColor="accent2" w:themeShade="BF"/>
        </w:rPr>
        <w:t xml:space="preserve">April 9, 2013 Bayless filed another related state court action. Carl individually and as executor </w:t>
      </w:r>
      <w:proofErr w:type="spellStart"/>
      <w:r w:rsidRPr="00E63325">
        <w:rPr>
          <w:color w:val="C45911" w:themeColor="accent2" w:themeShade="BF"/>
        </w:rPr>
        <w:t>vs</w:t>
      </w:r>
      <w:proofErr w:type="spellEnd"/>
      <w:r w:rsidRPr="00E63325">
        <w:rPr>
          <w:color w:val="C45911" w:themeColor="accent2" w:themeShade="BF"/>
        </w:rPr>
        <w:t xml:space="preserve"> Amy, Anita and Carole Brunsting and, as a nominal defendant only… Candace Curtis  </w:t>
      </w:r>
    </w:p>
    <w:p w:rsidR="003B11B2" w:rsidRDefault="003B11B2" w:rsidP="003B11B2">
      <w:pPr>
        <w:pStyle w:val="NumPara1"/>
        <w:contextualSpacing/>
      </w:pPr>
      <w:r>
        <w:t xml:space="preserve">(Exhibit 4) </w:t>
      </w:r>
      <w:r w:rsidRPr="00E0518D">
        <w:t xml:space="preserve">Preliminary Injunction issued </w:t>
      </w:r>
      <w:r>
        <w:rPr>
          <w:u w:val="single"/>
        </w:rPr>
        <w:t>April 19, 2013</w:t>
      </w:r>
      <w:r w:rsidRPr="00037BA7">
        <w:t xml:space="preserve"> [Doc 45]</w:t>
      </w:r>
    </w:p>
    <w:p w:rsidR="003B11B2" w:rsidRPr="000308C1" w:rsidRDefault="003B11B2" w:rsidP="003B11B2">
      <w:pPr>
        <w:pStyle w:val="NumPara1"/>
        <w:numPr>
          <w:ilvl w:val="0"/>
          <w:numId w:val="0"/>
        </w:numPr>
        <w:ind w:left="720"/>
      </w:pPr>
      <w:r>
        <w:t>A Special Master was appointed to get a grip on the trust assets and provide a partial accounting. The Special Master filed his report on July 31, 2013 and hearing was held on the Special Master’s report September 3, 2013 [Doc 84].</w:t>
      </w:r>
    </w:p>
    <w:p w:rsidR="009D58E6" w:rsidRDefault="009D58E6" w:rsidP="009D58E6">
      <w:r w:rsidRPr="00E44686">
        <w:t xml:space="preserve">In October </w:t>
      </w:r>
      <w:r>
        <w:t xml:space="preserve">2013 </w:t>
      </w:r>
      <w:r w:rsidRPr="00E44686">
        <w:t xml:space="preserve">Curtis legal assistant suffered a medical emergency and was in coma. Curtis had no way of even locating the file and was thus unprepared for a hearing that occurred only </w:t>
      </w:r>
      <w:r>
        <w:t>two</w:t>
      </w:r>
      <w:r w:rsidRPr="00E44686">
        <w:t xml:space="preserve"> days later. Despite </w:t>
      </w:r>
      <w:proofErr w:type="spellStart"/>
      <w:r w:rsidRPr="00E44686">
        <w:t>Mr</w:t>
      </w:r>
      <w:proofErr w:type="spellEnd"/>
      <w:r w:rsidRPr="00E44686">
        <w:t xml:space="preserve"> Spielmans assertions that Curtis was “Ordered” to hire an attorney, </w:t>
      </w:r>
      <w:r>
        <w:t>Curtis</w:t>
      </w:r>
      <w:r w:rsidRPr="00E44686">
        <w:t xml:space="preserve"> was </w:t>
      </w:r>
      <w:r>
        <w:t xml:space="preserve">only </w:t>
      </w:r>
      <w:r w:rsidRPr="00E44686">
        <w:t>advised to do so.</w:t>
      </w:r>
      <w:r>
        <w:t xml:space="preserve"> </w:t>
      </w:r>
      <w:r w:rsidRPr="00E44686">
        <w:t>Mr</w:t>
      </w:r>
      <w:r>
        <w:t>.</w:t>
      </w:r>
      <w:r w:rsidRPr="00E44686">
        <w:t xml:space="preserve"> Spielman</w:t>
      </w:r>
      <w:r>
        <w:t xml:space="preserve"> was not even involved in those proceedings.</w:t>
      </w:r>
    </w:p>
    <w:p w:rsidR="009D58E6" w:rsidRDefault="009D58E6" w:rsidP="009D58E6">
      <w:pPr>
        <w:pStyle w:val="NumPara1"/>
        <w:contextualSpacing/>
      </w:pPr>
      <w:r>
        <w:t>Remand to Probate (</w:t>
      </w:r>
      <w:r w:rsidRPr="008D67D1">
        <w:rPr>
          <w:u w:val="single"/>
        </w:rPr>
        <w:t>Exhibits 5-1 to 5-4</w:t>
      </w:r>
      <w:r>
        <w:t>)</w:t>
      </w:r>
    </w:p>
    <w:p w:rsidR="009D58E6" w:rsidRDefault="009D58E6" w:rsidP="009D58E6">
      <w:r>
        <w:t xml:space="preserve">The time span, including the appeal, the injunction hearing, the Report of Special Master and the hearing on the Report of Special Master in the Southern District of Texas </w:t>
      </w:r>
      <w:r w:rsidRPr="00037BA7">
        <w:rPr>
          <w:u w:val="single"/>
        </w:rPr>
        <w:t>consumed Nineteen Months</w:t>
      </w:r>
      <w:r>
        <w:t>.</w:t>
      </w:r>
    </w:p>
    <w:p w:rsidR="009D58E6" w:rsidRPr="00FC0001" w:rsidRDefault="009D58E6" w:rsidP="009D58E6">
      <w:pPr>
        <w:rPr>
          <w:szCs w:val="24"/>
        </w:rPr>
      </w:pPr>
      <w:r>
        <w:t xml:space="preserve">At this juncture </w:t>
      </w:r>
      <w:r w:rsidRPr="00E44686">
        <w:t>Curtis retained Houston Attorney Jason Ostrom</w:t>
      </w:r>
      <w:r>
        <w:t xml:space="preserve"> and on May 15, 2014 </w:t>
      </w:r>
      <w:r w:rsidRPr="00705531">
        <w:rPr>
          <w:i/>
        </w:rPr>
        <w:t>Candace Louise Curtis v. Amy and Anita Brunsting and Does 1-100</w:t>
      </w:r>
      <w:r>
        <w:t xml:space="preserve"> </w:t>
      </w:r>
      <w:r w:rsidRPr="00E44686">
        <w:t xml:space="preserve">was remanded </w:t>
      </w:r>
      <w:r>
        <w:t xml:space="preserve">from the Southern District of Texas </w:t>
      </w:r>
      <w:r w:rsidRPr="00E44686">
        <w:t xml:space="preserve">to Harris County Probate Court </w:t>
      </w:r>
      <w:r>
        <w:t>No. 4, [Doc 112] where</w:t>
      </w:r>
      <w:r w:rsidR="00D154AF">
        <w:t xml:space="preserve"> Curtis is </w:t>
      </w:r>
      <w:r w:rsidR="00D154AF">
        <w:t>unable to find her breach of fiduciary lawsu</w:t>
      </w:r>
      <w:r w:rsidR="00D154AF">
        <w:t>it</w:t>
      </w:r>
      <w:r>
        <w:t>,</w:t>
      </w:r>
      <w:r w:rsidR="00D154AF" w:rsidRPr="00D154AF">
        <w:t xml:space="preserve"> </w:t>
      </w:r>
      <w:r w:rsidR="00D154AF">
        <w:t>and finds herself listed as a defendant on the docket and not a Plaintiff</w:t>
      </w:r>
      <w:r w:rsidR="00D154AF">
        <w:t xml:space="preserve"> and where</w:t>
      </w:r>
      <w:r w:rsidR="0058185F">
        <w:t>, after</w:t>
      </w:r>
      <w:r>
        <w:t xml:space="preserve"> </w:t>
      </w:r>
      <w:r w:rsidR="0058185F">
        <w:t>six</w:t>
      </w:r>
      <w:r>
        <w:t xml:space="preserve"> and one half years nothing </w:t>
      </w:r>
      <w:r>
        <w:t xml:space="preserve">of substance </w:t>
      </w:r>
      <w:r>
        <w:t xml:space="preserve">has </w:t>
      </w:r>
      <w:r>
        <w:t>been resolved</w:t>
      </w:r>
      <w:r w:rsidR="0058185F">
        <w:t xml:space="preserve"> since Curtis left the federal court</w:t>
      </w:r>
      <w:r>
        <w:t>.</w:t>
      </w:r>
    </w:p>
    <w:p w:rsidR="0058185F" w:rsidRDefault="0058185F" w:rsidP="00306186"/>
    <w:p w:rsidR="00306186" w:rsidRDefault="0058185F" w:rsidP="00306186">
      <w:r>
        <w:t xml:space="preserve">Thus we ask again, </w:t>
      </w:r>
      <w:r w:rsidRPr="00037BA7">
        <w:rPr>
          <w:rFonts w:eastAsia="Calibri"/>
          <w:b/>
        </w:rPr>
        <w:t>w</w:t>
      </w:r>
      <w:r w:rsidRPr="00037BA7">
        <w:rPr>
          <w:b/>
        </w:rPr>
        <w:t>ho or what has frustrated</w:t>
      </w:r>
      <w:r>
        <w:rPr>
          <w:b/>
        </w:rPr>
        <w:t xml:space="preserve"> the timely resolution of this controversy?</w:t>
      </w:r>
    </w:p>
    <w:p w:rsidR="003B11B2" w:rsidRDefault="003B11B2" w:rsidP="00306186"/>
    <w:p w:rsidR="00306186" w:rsidRDefault="00306186" w:rsidP="00306186">
      <w:r>
        <w:t xml:space="preserve">According to Mr. Spielman, </w:t>
      </w:r>
      <w:r w:rsidR="0058185F">
        <w:t>Attorney for Defendant Amy Brunsting, it’</w:t>
      </w:r>
      <w:r>
        <w:t>s all the pro se</w:t>
      </w:r>
      <w:r w:rsidR="0058185F">
        <w:t xml:space="preserve"> Candy Curtis</w:t>
      </w:r>
      <w:r>
        <w:t xml:space="preserve"> fault. </w:t>
      </w:r>
    </w:p>
    <w:p w:rsidR="00F22058" w:rsidRDefault="00F22058">
      <w:pPr>
        <w:rPr>
          <w:b/>
        </w:rPr>
      </w:pPr>
    </w:p>
    <w:p w:rsidR="00B90310" w:rsidRPr="00276E62" w:rsidRDefault="008D67D1" w:rsidP="00F22058">
      <w:pPr>
        <w:pStyle w:val="NumPara1"/>
      </w:pPr>
      <w:r>
        <w:t xml:space="preserve">(Exhibit 6) </w:t>
      </w:r>
      <w:r w:rsidR="00B90310" w:rsidRPr="00276E62">
        <w:t xml:space="preserve">At the hearing on </w:t>
      </w:r>
      <w:r w:rsidR="00B90310">
        <w:t xml:space="preserve">his </w:t>
      </w:r>
      <w:r w:rsidR="00037BA7">
        <w:t xml:space="preserve">first </w:t>
      </w:r>
      <w:r w:rsidR="00B90310" w:rsidRPr="00276E62">
        <w:t>motion for sanctions</w:t>
      </w:r>
      <w:r w:rsidR="00B90310">
        <w:t>,</w:t>
      </w:r>
      <w:r w:rsidR="00B90310" w:rsidRPr="00276E62">
        <w:t xml:space="preserve"> June 28, 2019, Attorney Spielman had this to </w:t>
      </w:r>
      <w:r w:rsidR="00677990">
        <w:t>s</w:t>
      </w:r>
      <w:r w:rsidR="00B90310" w:rsidRPr="00276E62">
        <w:t>ay:</w:t>
      </w:r>
      <w:r w:rsidR="00677990">
        <w:t xml:space="preserve"> Page 11</w:t>
      </w:r>
    </w:p>
    <w:p w:rsidR="00B90310" w:rsidRDefault="00B90310" w:rsidP="00093585">
      <w:pPr>
        <w:pStyle w:val="Quote"/>
      </w:pPr>
      <w:r w:rsidRPr="00485CC2">
        <w:t>8 I feel like this case, from inception, has</w:t>
      </w:r>
      <w:r w:rsidRPr="00485CC2">
        <w:br/>
        <w:t>9 been burdened by a lot of the conduct of Ms. Curtis and</w:t>
      </w:r>
      <w:r w:rsidRPr="00485CC2">
        <w:br/>
        <w:t>10 the delays that she's caused and the pleadings that</w:t>
      </w:r>
      <w:r w:rsidRPr="00485CC2">
        <w:br/>
        <w:t>11 she's filed and there's never been an opportunity - by</w:t>
      </w:r>
      <w:r w:rsidRPr="00485CC2">
        <w:br/>
        <w:t>12 this Court, at least - to call her out on that to say</w:t>
      </w:r>
      <w:r w:rsidRPr="00485CC2">
        <w:br/>
        <w:t>13 there is a proper way of conducting business; just</w:t>
      </w:r>
      <w:r w:rsidRPr="00485CC2">
        <w:br/>
        <w:t>14 because you are a pro se party does not excuse you from</w:t>
      </w:r>
      <w:r w:rsidRPr="00485CC2">
        <w:br/>
        <w:t>15 understanding how the process works and from following</w:t>
      </w:r>
      <w:r w:rsidRPr="00485CC2">
        <w:br/>
        <w:t>16 that process. It has cost the parties' time. It is</w:t>
      </w:r>
      <w:r w:rsidRPr="00485CC2">
        <w:br/>
        <w:t>17 going to cost the estate money. If it's not going to</w:t>
      </w:r>
      <w:r w:rsidRPr="00485CC2">
        <w:br/>
        <w:t>18 cost the estate money, it's certainly going to cost my</w:t>
      </w:r>
      <w:r w:rsidRPr="00485CC2">
        <w:br/>
        <w:t xml:space="preserve">19 client money, and it's time to send the message to </w:t>
      </w:r>
      <w:proofErr w:type="spellStart"/>
      <w:proofErr w:type="gramStart"/>
      <w:r w:rsidRPr="00485CC2">
        <w:t>Ms</w:t>
      </w:r>
      <w:proofErr w:type="spellEnd"/>
      <w:r w:rsidRPr="00485CC2">
        <w:t xml:space="preserve"> .</w:t>
      </w:r>
      <w:proofErr w:type="gramEnd"/>
      <w:r w:rsidRPr="00485CC2">
        <w:br/>
        <w:t>20 Curtis that there are consequences to the decisions that</w:t>
      </w:r>
      <w:r w:rsidRPr="00485CC2">
        <w:br/>
        <w:t>21 she makes when she disregards this Court's order or</w:t>
      </w:r>
      <w:r w:rsidRPr="00485CC2">
        <w:br/>
        <w:t>22 pursues ill-timed, poorly-thought-out, or other conduct</w:t>
      </w:r>
      <w:r w:rsidRPr="00485CC2">
        <w:br/>
        <w:t>23</w:t>
      </w:r>
      <w:r w:rsidR="00306186">
        <w:t xml:space="preserve"> </w:t>
      </w:r>
      <w:r w:rsidRPr="00485CC2">
        <w:t>that's just contrary to the way we are to conduct</w:t>
      </w:r>
      <w:r w:rsidRPr="00485CC2">
        <w:br/>
        <w:t>24 ourselves in a litigation.</w:t>
      </w:r>
    </w:p>
    <w:p w:rsidR="00677990" w:rsidRDefault="00677990" w:rsidP="00677990">
      <w:pPr>
        <w:autoSpaceDE w:val="0"/>
        <w:autoSpaceDN w:val="0"/>
        <w:adjustRightInd w:val="0"/>
        <w:spacing w:before="0" w:after="0"/>
        <w:jc w:val="left"/>
        <w:rPr>
          <w:color w:val="383A3A"/>
          <w:szCs w:val="24"/>
        </w:rPr>
      </w:pPr>
      <w:r>
        <w:rPr>
          <w:color w:val="383A3A"/>
          <w:szCs w:val="24"/>
        </w:rPr>
        <w:t>Page 13</w:t>
      </w:r>
    </w:p>
    <w:p w:rsidR="00677990" w:rsidRPr="00677990" w:rsidRDefault="00306186" w:rsidP="00093585">
      <w:pPr>
        <w:pStyle w:val="Quote"/>
        <w:rPr>
          <w:color w:val="383A3A"/>
        </w:rPr>
      </w:pPr>
      <w:proofErr w:type="gramStart"/>
      <w:r>
        <w:rPr>
          <w:color w:val="383A3A"/>
        </w:rPr>
        <w:t xml:space="preserve">12  </w:t>
      </w:r>
      <w:r w:rsidR="00677990" w:rsidRPr="00677990">
        <w:rPr>
          <w:color w:val="383A3A"/>
        </w:rPr>
        <w:t>For</w:t>
      </w:r>
      <w:proofErr w:type="gramEnd"/>
      <w:r w:rsidR="00677990" w:rsidRPr="00677990">
        <w:rPr>
          <w:color w:val="383A3A"/>
        </w:rPr>
        <w:t xml:space="preserve"> </w:t>
      </w:r>
      <w:r w:rsidR="00677990" w:rsidRPr="00677990">
        <w:t xml:space="preserve">the longest </w:t>
      </w:r>
      <w:r w:rsidR="00677990" w:rsidRPr="00677990">
        <w:rPr>
          <w:color w:val="383A3A"/>
        </w:rPr>
        <w:t xml:space="preserve">period </w:t>
      </w:r>
      <w:r w:rsidR="00677990" w:rsidRPr="00677990">
        <w:t xml:space="preserve">of time, we </w:t>
      </w:r>
      <w:r w:rsidR="00677990" w:rsidRPr="00677990">
        <w:rPr>
          <w:color w:val="383A3A"/>
        </w:rPr>
        <w:t>spent</w:t>
      </w:r>
    </w:p>
    <w:p w:rsidR="00677990" w:rsidRPr="00677990" w:rsidRDefault="00677990" w:rsidP="00093585">
      <w:pPr>
        <w:pStyle w:val="Quote"/>
        <w:rPr>
          <w:color w:val="383A3A"/>
        </w:rPr>
      </w:pPr>
      <w:proofErr w:type="gramStart"/>
      <w:r w:rsidRPr="00677990">
        <w:t xml:space="preserve">13 </w:t>
      </w:r>
      <w:r w:rsidR="00306186">
        <w:t xml:space="preserve"> </w:t>
      </w:r>
      <w:r w:rsidRPr="00677990">
        <w:t>our</w:t>
      </w:r>
      <w:proofErr w:type="gramEnd"/>
      <w:r w:rsidRPr="00677990">
        <w:t xml:space="preserve"> time </w:t>
      </w:r>
      <w:r w:rsidRPr="00677990">
        <w:rPr>
          <w:color w:val="383A3A"/>
        </w:rPr>
        <w:t xml:space="preserve">stuck </w:t>
      </w:r>
      <w:r w:rsidRPr="00677990">
        <w:t xml:space="preserve">in a different </w:t>
      </w:r>
      <w:r w:rsidRPr="00677990">
        <w:rPr>
          <w:color w:val="383A3A"/>
        </w:rPr>
        <w:t xml:space="preserve">federal </w:t>
      </w:r>
      <w:r w:rsidRPr="00677990">
        <w:t xml:space="preserve">court </w:t>
      </w:r>
      <w:r w:rsidRPr="00677990">
        <w:rPr>
          <w:color w:val="383A3A"/>
        </w:rPr>
        <w:t>proceeding</w:t>
      </w:r>
    </w:p>
    <w:p w:rsidR="00677990" w:rsidRPr="00677990" w:rsidRDefault="00677990" w:rsidP="00093585">
      <w:pPr>
        <w:pStyle w:val="Quote"/>
      </w:pPr>
      <w:proofErr w:type="gramStart"/>
      <w:r w:rsidRPr="00677990">
        <w:t xml:space="preserve">14 </w:t>
      </w:r>
      <w:r w:rsidR="00306186">
        <w:t xml:space="preserve"> </w:t>
      </w:r>
      <w:r w:rsidRPr="00677990">
        <w:t>because</w:t>
      </w:r>
      <w:proofErr w:type="gramEnd"/>
      <w:r w:rsidRPr="00677990">
        <w:t xml:space="preserve"> of an ill-timed, poorly-conceived, frivolous</w:t>
      </w:r>
    </w:p>
    <w:p w:rsidR="00677990" w:rsidRDefault="00677990" w:rsidP="00093585">
      <w:pPr>
        <w:pStyle w:val="Quote"/>
      </w:pPr>
      <w:proofErr w:type="gramStart"/>
      <w:r w:rsidRPr="00677990">
        <w:rPr>
          <w:sz w:val="22"/>
          <w:szCs w:val="22"/>
        </w:rPr>
        <w:t xml:space="preserve">15 </w:t>
      </w:r>
      <w:r w:rsidR="00306186">
        <w:rPr>
          <w:sz w:val="22"/>
          <w:szCs w:val="22"/>
        </w:rPr>
        <w:t xml:space="preserve"> </w:t>
      </w:r>
      <w:r w:rsidRPr="00677990">
        <w:t>lawsuit</w:t>
      </w:r>
      <w:proofErr w:type="gramEnd"/>
      <w:r w:rsidRPr="00677990">
        <w:t>.</w:t>
      </w:r>
    </w:p>
    <w:p w:rsidR="00677990" w:rsidRDefault="00677990" w:rsidP="00677990">
      <w:r>
        <w:t>Page 14</w:t>
      </w:r>
    </w:p>
    <w:p w:rsidR="00677990" w:rsidRPr="00677990" w:rsidRDefault="00677990" w:rsidP="00093585">
      <w:pPr>
        <w:pStyle w:val="Quote"/>
        <w:rPr>
          <w:rStyle w:val="Strong"/>
          <w:b w:val="0"/>
        </w:rPr>
      </w:pPr>
      <w:r w:rsidRPr="00677990">
        <w:rPr>
          <w:rStyle w:val="Strong"/>
          <w:b w:val="0"/>
        </w:rPr>
        <w:t>THE COURT: All right. And he is the one</w:t>
      </w:r>
    </w:p>
    <w:p w:rsidR="00677990" w:rsidRPr="00677990" w:rsidRDefault="00677990" w:rsidP="00093585">
      <w:pPr>
        <w:pStyle w:val="Quote"/>
        <w:rPr>
          <w:rStyle w:val="Strong"/>
          <w:b w:val="0"/>
        </w:rPr>
      </w:pPr>
      <w:proofErr w:type="gramStart"/>
      <w:r w:rsidRPr="00677990">
        <w:rPr>
          <w:rStyle w:val="Strong"/>
          <w:b w:val="0"/>
        </w:rPr>
        <w:t xml:space="preserve">11 </w:t>
      </w:r>
      <w:r w:rsidR="00306186">
        <w:rPr>
          <w:rStyle w:val="Strong"/>
          <w:b w:val="0"/>
        </w:rPr>
        <w:t xml:space="preserve"> </w:t>
      </w:r>
      <w:r w:rsidRPr="00677990">
        <w:rPr>
          <w:rStyle w:val="Strong"/>
          <w:b w:val="0"/>
        </w:rPr>
        <w:t>that</w:t>
      </w:r>
      <w:proofErr w:type="gramEnd"/>
      <w:r w:rsidRPr="00677990">
        <w:rPr>
          <w:rStyle w:val="Strong"/>
          <w:b w:val="0"/>
        </w:rPr>
        <w:t xml:space="preserve"> closed the federal -- this 592 case, granted the</w:t>
      </w:r>
    </w:p>
    <w:p w:rsidR="00677990" w:rsidRPr="00677990" w:rsidRDefault="00677990" w:rsidP="00093585">
      <w:pPr>
        <w:pStyle w:val="Quote"/>
        <w:rPr>
          <w:rStyle w:val="Strong"/>
          <w:b w:val="0"/>
        </w:rPr>
      </w:pPr>
      <w:proofErr w:type="gramStart"/>
      <w:r w:rsidRPr="00677990">
        <w:rPr>
          <w:rStyle w:val="Strong"/>
          <w:b w:val="0"/>
        </w:rPr>
        <w:t xml:space="preserve">12 </w:t>
      </w:r>
      <w:r w:rsidR="00306186">
        <w:rPr>
          <w:rStyle w:val="Strong"/>
          <w:b w:val="0"/>
        </w:rPr>
        <w:t xml:space="preserve"> </w:t>
      </w:r>
      <w:r w:rsidRPr="00677990">
        <w:rPr>
          <w:rStyle w:val="Strong"/>
          <w:b w:val="0"/>
        </w:rPr>
        <w:t>Plaintiff's</w:t>
      </w:r>
      <w:proofErr w:type="gramEnd"/>
      <w:r w:rsidRPr="00677990">
        <w:rPr>
          <w:rStyle w:val="Strong"/>
          <w:b w:val="0"/>
        </w:rPr>
        <w:t xml:space="preserve"> motion to remand in the order of transfer</w:t>
      </w:r>
    </w:p>
    <w:p w:rsidR="00677990" w:rsidRPr="00677990" w:rsidRDefault="00677990" w:rsidP="00093585">
      <w:pPr>
        <w:pStyle w:val="Quote"/>
        <w:rPr>
          <w:rStyle w:val="Strong"/>
          <w:b w:val="0"/>
        </w:rPr>
      </w:pPr>
      <w:proofErr w:type="gramStart"/>
      <w:r w:rsidRPr="00677990">
        <w:rPr>
          <w:rStyle w:val="Strong"/>
          <w:b w:val="0"/>
        </w:rPr>
        <w:t xml:space="preserve">13 </w:t>
      </w:r>
      <w:r w:rsidR="00306186">
        <w:rPr>
          <w:rStyle w:val="Strong"/>
          <w:b w:val="0"/>
        </w:rPr>
        <w:t xml:space="preserve"> </w:t>
      </w:r>
      <w:r w:rsidRPr="00677990">
        <w:rPr>
          <w:rStyle w:val="Strong"/>
          <w:b w:val="0"/>
        </w:rPr>
        <w:t>and</w:t>
      </w:r>
      <w:proofErr w:type="gramEnd"/>
      <w:r w:rsidRPr="00677990">
        <w:rPr>
          <w:rStyle w:val="Strong"/>
          <w:b w:val="0"/>
        </w:rPr>
        <w:t xml:space="preserve"> to have all of this brought back under our current</w:t>
      </w:r>
    </w:p>
    <w:p w:rsidR="00677990" w:rsidRPr="00677990" w:rsidRDefault="00677990" w:rsidP="00093585">
      <w:pPr>
        <w:pStyle w:val="Quote"/>
        <w:rPr>
          <w:rStyle w:val="Strong"/>
          <w:b w:val="0"/>
        </w:rPr>
      </w:pPr>
      <w:proofErr w:type="gramStart"/>
      <w:r w:rsidRPr="00677990">
        <w:rPr>
          <w:rStyle w:val="Strong"/>
          <w:b w:val="0"/>
        </w:rPr>
        <w:t xml:space="preserve">14 </w:t>
      </w:r>
      <w:r w:rsidR="00306186">
        <w:rPr>
          <w:rStyle w:val="Strong"/>
          <w:b w:val="0"/>
        </w:rPr>
        <w:t xml:space="preserve"> </w:t>
      </w:r>
      <w:r w:rsidRPr="00677990">
        <w:rPr>
          <w:rStyle w:val="Strong"/>
          <w:b w:val="0"/>
        </w:rPr>
        <w:t>case</w:t>
      </w:r>
      <w:proofErr w:type="gramEnd"/>
      <w:r w:rsidRPr="00677990">
        <w:rPr>
          <w:rStyle w:val="Strong"/>
          <w:b w:val="0"/>
        </w:rPr>
        <w:t xml:space="preserve"> number; is that correct?</w:t>
      </w:r>
    </w:p>
    <w:p w:rsidR="00677990" w:rsidRPr="00677990" w:rsidRDefault="00677990" w:rsidP="00093585">
      <w:pPr>
        <w:pStyle w:val="Quote"/>
        <w:rPr>
          <w:rStyle w:val="Strong"/>
          <w:b w:val="0"/>
        </w:rPr>
      </w:pPr>
      <w:proofErr w:type="gramStart"/>
      <w:r w:rsidRPr="00677990">
        <w:rPr>
          <w:rStyle w:val="Strong"/>
          <w:b w:val="0"/>
        </w:rPr>
        <w:t xml:space="preserve">15 </w:t>
      </w:r>
      <w:r w:rsidR="00306186">
        <w:rPr>
          <w:rStyle w:val="Strong"/>
          <w:b w:val="0"/>
        </w:rPr>
        <w:t xml:space="preserve"> </w:t>
      </w:r>
      <w:r w:rsidRPr="00677990">
        <w:rPr>
          <w:rStyle w:val="Strong"/>
          <w:b w:val="0"/>
        </w:rPr>
        <w:t>MR</w:t>
      </w:r>
      <w:proofErr w:type="gramEnd"/>
      <w:r w:rsidRPr="00677990">
        <w:rPr>
          <w:rStyle w:val="Strong"/>
          <w:b w:val="0"/>
        </w:rPr>
        <w:t xml:space="preserve"> . SPIELMAN: Well, Judge Hoyt granted</w:t>
      </w:r>
    </w:p>
    <w:p w:rsidR="00677990" w:rsidRPr="00677990" w:rsidRDefault="00677990" w:rsidP="00093585">
      <w:pPr>
        <w:pStyle w:val="Quote"/>
        <w:rPr>
          <w:rStyle w:val="Strong"/>
          <w:b w:val="0"/>
        </w:rPr>
      </w:pPr>
      <w:proofErr w:type="gramStart"/>
      <w:r w:rsidRPr="00677990">
        <w:rPr>
          <w:rStyle w:val="Strong"/>
          <w:b w:val="0"/>
        </w:rPr>
        <w:t xml:space="preserve">16 </w:t>
      </w:r>
      <w:r w:rsidR="00306186">
        <w:rPr>
          <w:rStyle w:val="Strong"/>
          <w:b w:val="0"/>
        </w:rPr>
        <w:t xml:space="preserve"> </w:t>
      </w:r>
      <w:r w:rsidRPr="00677990">
        <w:rPr>
          <w:rStyle w:val="Strong"/>
          <w:b w:val="0"/>
        </w:rPr>
        <w:t>Plaintiff's</w:t>
      </w:r>
      <w:proofErr w:type="gramEnd"/>
      <w:r w:rsidRPr="00677990">
        <w:rPr>
          <w:rStyle w:val="Strong"/>
          <w:b w:val="0"/>
        </w:rPr>
        <w:t xml:space="preserve"> motion to remand and then the order of</w:t>
      </w:r>
    </w:p>
    <w:p w:rsidR="00677990" w:rsidRPr="00677990" w:rsidRDefault="00677990" w:rsidP="00093585">
      <w:pPr>
        <w:pStyle w:val="Quote"/>
        <w:rPr>
          <w:rStyle w:val="Strong"/>
          <w:b w:val="0"/>
        </w:rPr>
      </w:pPr>
      <w:proofErr w:type="gramStart"/>
      <w:r w:rsidRPr="00677990">
        <w:rPr>
          <w:rStyle w:val="Strong"/>
          <w:b w:val="0"/>
        </w:rPr>
        <w:t xml:space="preserve">17 </w:t>
      </w:r>
      <w:r w:rsidR="00306186">
        <w:rPr>
          <w:rStyle w:val="Strong"/>
          <w:b w:val="0"/>
        </w:rPr>
        <w:t xml:space="preserve"> </w:t>
      </w:r>
      <w:r w:rsidRPr="00677990">
        <w:rPr>
          <w:rStyle w:val="Strong"/>
          <w:b w:val="0"/>
        </w:rPr>
        <w:t>transfer</w:t>
      </w:r>
      <w:proofErr w:type="gramEnd"/>
      <w:r w:rsidRPr="00677990">
        <w:rPr>
          <w:rStyle w:val="Strong"/>
          <w:b w:val="0"/>
        </w:rPr>
        <w:t xml:space="preserve"> that you just mentioned was the document signed</w:t>
      </w:r>
    </w:p>
    <w:p w:rsidR="00677990" w:rsidRPr="00677990" w:rsidRDefault="00677990" w:rsidP="00093585">
      <w:pPr>
        <w:pStyle w:val="Quote"/>
        <w:rPr>
          <w:rStyle w:val="Strong"/>
          <w:b w:val="0"/>
        </w:rPr>
      </w:pPr>
      <w:proofErr w:type="gramStart"/>
      <w:r w:rsidRPr="00677990">
        <w:rPr>
          <w:rStyle w:val="Strong"/>
          <w:b w:val="0"/>
        </w:rPr>
        <w:t>18</w:t>
      </w:r>
      <w:r w:rsidR="00306186">
        <w:rPr>
          <w:rStyle w:val="Strong"/>
          <w:b w:val="0"/>
        </w:rPr>
        <w:t xml:space="preserve"> </w:t>
      </w:r>
      <w:r w:rsidRPr="00677990">
        <w:rPr>
          <w:rStyle w:val="Strong"/>
          <w:b w:val="0"/>
        </w:rPr>
        <w:t xml:space="preserve"> by</w:t>
      </w:r>
      <w:proofErr w:type="gramEnd"/>
      <w:r w:rsidRPr="00677990">
        <w:rPr>
          <w:rStyle w:val="Strong"/>
          <w:b w:val="0"/>
        </w:rPr>
        <w:t xml:space="preserve"> Judge Butts in this court .</w:t>
      </w:r>
    </w:p>
    <w:p w:rsidR="00677990" w:rsidRPr="00677990" w:rsidRDefault="00677990" w:rsidP="00093585">
      <w:pPr>
        <w:pStyle w:val="Quote"/>
        <w:rPr>
          <w:rStyle w:val="Strong"/>
          <w:b w:val="0"/>
        </w:rPr>
      </w:pPr>
      <w:proofErr w:type="gramStart"/>
      <w:r w:rsidRPr="00677990">
        <w:rPr>
          <w:rStyle w:val="Strong"/>
          <w:b w:val="0"/>
        </w:rPr>
        <w:t xml:space="preserve">19 </w:t>
      </w:r>
      <w:r w:rsidR="00306186">
        <w:rPr>
          <w:rStyle w:val="Strong"/>
          <w:b w:val="0"/>
        </w:rPr>
        <w:t xml:space="preserve"> </w:t>
      </w:r>
      <w:r w:rsidRPr="00677990">
        <w:rPr>
          <w:rStyle w:val="Strong"/>
          <w:b w:val="0"/>
        </w:rPr>
        <w:t>yes</w:t>
      </w:r>
      <w:proofErr w:type="gramEnd"/>
      <w:r w:rsidRPr="00677990">
        <w:rPr>
          <w:rStyle w:val="Strong"/>
          <w:b w:val="0"/>
        </w:rPr>
        <w:t>.</w:t>
      </w:r>
    </w:p>
    <w:p w:rsidR="00306186" w:rsidRDefault="00677990" w:rsidP="008D67D1">
      <w:r w:rsidRPr="00677990">
        <w:t xml:space="preserve">There was nothing </w:t>
      </w:r>
      <w:r>
        <w:t xml:space="preserve">to be </w:t>
      </w:r>
      <w:r w:rsidRPr="00677990">
        <w:t>brought back under the probate court</w:t>
      </w:r>
      <w:r>
        <w:t xml:space="preserve"> case number as Curtis v Brunsting was the first lawsuit filed in any court</w:t>
      </w:r>
      <w:r w:rsidR="00F22058">
        <w:t xml:space="preserve"> and it was filed eleven months before </w:t>
      </w:r>
      <w:r w:rsidR="0058185F">
        <w:t xml:space="preserve">and was continuing after </w:t>
      </w:r>
      <w:r w:rsidR="00F22058">
        <w:t xml:space="preserve">the first state court action was filed. </w:t>
      </w:r>
      <w:r w:rsidR="0058185F">
        <w:t xml:space="preserve">The federal court entered an injunction the same day the second state court action was filed.   </w:t>
      </w:r>
    </w:p>
    <w:p w:rsidR="00677990" w:rsidRDefault="00F22058" w:rsidP="008D67D1">
      <w:r>
        <w:t>As to the “</w:t>
      </w:r>
      <w:r w:rsidRPr="00F22058">
        <w:rPr>
          <w:i/>
        </w:rPr>
        <w:t>longest time stuck in another court</w:t>
      </w:r>
      <w:r>
        <w:t>”, t</w:t>
      </w:r>
      <w:r w:rsidR="00677990">
        <w:t xml:space="preserve">he honest services </w:t>
      </w:r>
      <w:r>
        <w:t xml:space="preserve">fraud </w:t>
      </w:r>
      <w:r w:rsidR="00677990">
        <w:t xml:space="preserve">action in the Southern District of Texas was </w:t>
      </w:r>
      <w:r w:rsidR="00677990" w:rsidRPr="0058185F">
        <w:rPr>
          <w:u w:val="single"/>
        </w:rPr>
        <w:t xml:space="preserve">July 5, 2016 to </w:t>
      </w:r>
      <w:r w:rsidRPr="0058185F">
        <w:rPr>
          <w:u w:val="single"/>
        </w:rPr>
        <w:t>May 16, 2017</w:t>
      </w:r>
      <w:r>
        <w:t xml:space="preserve"> which consumed only 10 months</w:t>
      </w:r>
      <w:r w:rsidR="00306186">
        <w:t>, seven of which over lapped with</w:t>
      </w:r>
      <w:r>
        <w:t xml:space="preserve"> Johnston v </w:t>
      </w:r>
      <w:proofErr w:type="spellStart"/>
      <w:r>
        <w:t>Dexel</w:t>
      </w:r>
      <w:proofErr w:type="spellEnd"/>
      <w:r>
        <w:t xml:space="preserve"> et al., </w:t>
      </w:r>
      <w:r w:rsidR="00306186">
        <w:t xml:space="preserve">filed September 27, 2015 </w:t>
      </w:r>
      <w:r w:rsidR="0058185F">
        <w:t>that</w:t>
      </w:r>
      <w:r w:rsidR="00306186">
        <w:t xml:space="preserve"> concluded March </w:t>
      </w:r>
      <w:r w:rsidR="00306186">
        <w:lastRenderedPageBreak/>
        <w:t>14, 2019</w:t>
      </w:r>
      <w:r w:rsidR="0058185F">
        <w:t xml:space="preserve"> and, </w:t>
      </w:r>
      <w:r w:rsidR="00306186">
        <w:t>in which associate Judge Comstock was represented by the same attorneys representing the Vacek &amp; Freed Defendants in th</w:t>
      </w:r>
      <w:r w:rsidR="0058185F">
        <w:t>e District and now, this</w:t>
      </w:r>
      <w:r w:rsidR="00306186">
        <w:t xml:space="preserve"> court</w:t>
      </w:r>
      <w:r w:rsidR="0058185F">
        <w:t>.</w:t>
      </w:r>
    </w:p>
    <w:p w:rsidR="00E63325" w:rsidRDefault="00B90310" w:rsidP="00306186">
      <w:pPr>
        <w:pStyle w:val="NumPara1"/>
      </w:pPr>
      <w:r>
        <w:t>This calls for a</w:t>
      </w:r>
      <w:r w:rsidR="00F22058">
        <w:t>nother</w:t>
      </w:r>
      <w:r>
        <w:t xml:space="preserve"> review of the record</w:t>
      </w:r>
      <w:r w:rsidR="00306186">
        <w:t xml:space="preserve"> (Exhibit </w:t>
      </w:r>
      <w:r w:rsidR="00FD21A6">
        <w:t>7</w:t>
      </w:r>
      <w:r w:rsidR="00306186">
        <w:t xml:space="preserve">) the </w:t>
      </w:r>
      <w:r w:rsidR="008D67D1">
        <w:t>May 5, 2019</w:t>
      </w:r>
      <w:r w:rsidR="00306186" w:rsidRPr="00306186">
        <w:t xml:space="preserve"> ORDER following telephone scheduling conference</w:t>
      </w:r>
      <w:r w:rsidR="008D67D1">
        <w:t>. At the June 28 hearing Mr. Spielman ha</w:t>
      </w:r>
      <w:r w:rsidR="00FD21A6">
        <w:t>d</w:t>
      </w:r>
      <w:r w:rsidR="008D67D1">
        <w:t xml:space="preserve"> all sorts of Para phrases for what Judge Hoyt said. This is the actual order.</w:t>
      </w:r>
    </w:p>
    <w:p w:rsidR="00FD21A6" w:rsidRDefault="00FD21A6" w:rsidP="00FD21A6">
      <w:pPr>
        <w:pStyle w:val="Heading2"/>
      </w:pPr>
      <w:r>
        <w:t>Where is Curtis Brunsting?</w:t>
      </w:r>
    </w:p>
    <w:p w:rsidR="00FD21A6" w:rsidRPr="00D466ED" w:rsidRDefault="00FD21A6" w:rsidP="0058185F">
      <w:pPr>
        <w:rPr>
          <w:szCs w:val="24"/>
        </w:rPr>
      </w:pPr>
      <w:r>
        <w:tab/>
      </w:r>
      <w:r w:rsidR="002D7CE9">
        <w:t xml:space="preserve">It looks like Plaintiff Curtis was converted into Nominal Defendant Curtis and Plaintiff Curtis </w:t>
      </w:r>
      <w:r w:rsidR="002D7CE9">
        <w:t xml:space="preserve">and her lawsuit </w:t>
      </w:r>
      <w:r w:rsidR="002D7CE9">
        <w:t xml:space="preserve">vanished. </w:t>
      </w:r>
      <w:r w:rsidRPr="00D466ED">
        <w:rPr>
          <w:szCs w:val="24"/>
        </w:rPr>
        <w:t>The federal court docket</w:t>
      </w:r>
      <w:r>
        <w:rPr>
          <w:szCs w:val="24"/>
        </w:rPr>
        <w:t xml:space="preserve"> in 592</w:t>
      </w:r>
      <w:r w:rsidRPr="00D466ED">
        <w:rPr>
          <w:szCs w:val="24"/>
        </w:rPr>
        <w:t xml:space="preserve"> </w:t>
      </w:r>
      <w:r w:rsidRPr="00D466ED">
        <w:rPr>
          <w:b/>
          <w:szCs w:val="24"/>
        </w:rPr>
        <w:t>was closed</w:t>
      </w:r>
      <w:r w:rsidRPr="00D466ED">
        <w:rPr>
          <w:szCs w:val="24"/>
        </w:rPr>
        <w:t xml:space="preserve"> and the proceedings in the federal court </w:t>
      </w:r>
      <w:r w:rsidRPr="00D466ED">
        <w:rPr>
          <w:b/>
          <w:szCs w:val="24"/>
        </w:rPr>
        <w:t xml:space="preserve">were terminated but </w:t>
      </w:r>
      <w:r w:rsidRPr="00D466ED">
        <w:rPr>
          <w:szCs w:val="24"/>
        </w:rPr>
        <w:t>that is only because the substantive case was remanded to this court to be “consolidated” with the case pending here. (</w:t>
      </w:r>
      <w:r w:rsidRPr="00D466ED">
        <w:rPr>
          <w:szCs w:val="24"/>
          <w:highlight w:val="yellow"/>
        </w:rPr>
        <w:t xml:space="preserve">Exhibits </w:t>
      </w:r>
      <w:r>
        <w:rPr>
          <w:szCs w:val="24"/>
          <w:highlight w:val="yellow"/>
        </w:rPr>
        <w:t>5</w:t>
      </w:r>
      <w:r w:rsidRPr="00D466ED">
        <w:rPr>
          <w:szCs w:val="24"/>
          <w:highlight w:val="yellow"/>
        </w:rPr>
        <w:t xml:space="preserve">-1 to </w:t>
      </w:r>
      <w:r>
        <w:rPr>
          <w:szCs w:val="24"/>
          <w:highlight w:val="yellow"/>
        </w:rPr>
        <w:t>5</w:t>
      </w:r>
      <w:r w:rsidRPr="00D466ED">
        <w:rPr>
          <w:szCs w:val="24"/>
          <w:highlight w:val="yellow"/>
        </w:rPr>
        <w:t>-4</w:t>
      </w:r>
      <w:r w:rsidRPr="00D466ED">
        <w:rPr>
          <w:szCs w:val="24"/>
        </w:rPr>
        <w:t xml:space="preserve"> </w:t>
      </w:r>
      <w:r w:rsidRPr="00FD21A6">
        <w:rPr>
          <w:szCs w:val="24"/>
        </w:rPr>
        <w:t>Certified Copy of Remand Orders</w:t>
      </w:r>
      <w:r w:rsidRPr="00FD21A6">
        <w:rPr>
          <w:szCs w:val="24"/>
        </w:rPr>
        <w:t xml:space="preserve"> and pleadings</w:t>
      </w:r>
      <w:r>
        <w:rPr>
          <w:szCs w:val="24"/>
        </w:rPr>
        <w:t>)</w:t>
      </w:r>
      <w:r w:rsidRPr="00D466ED">
        <w:rPr>
          <w:szCs w:val="24"/>
        </w:rPr>
        <w:t xml:space="preserve"> </w:t>
      </w:r>
    </w:p>
    <w:p w:rsidR="00FD21A6" w:rsidRPr="00D466ED" w:rsidRDefault="00FD21A6" w:rsidP="00FD21A6">
      <w:pPr>
        <w:rPr>
          <w:b/>
          <w:szCs w:val="24"/>
        </w:rPr>
      </w:pPr>
      <w:r w:rsidRPr="00D466ED">
        <w:rPr>
          <w:b/>
          <w:szCs w:val="24"/>
        </w:rPr>
        <w:t>What happened to the federal lawsuit</w:t>
      </w:r>
      <w:r>
        <w:rPr>
          <w:b/>
          <w:szCs w:val="24"/>
        </w:rPr>
        <w:t xml:space="preserve"> </w:t>
      </w:r>
      <w:r w:rsidRPr="00D466ED">
        <w:rPr>
          <w:b/>
          <w:szCs w:val="24"/>
        </w:rPr>
        <w:t>after it was remanded to this court is an issue</w:t>
      </w:r>
      <w:r w:rsidR="002D7CE9">
        <w:rPr>
          <w:b/>
          <w:szCs w:val="24"/>
        </w:rPr>
        <w:t>.</w:t>
      </w:r>
      <w:r w:rsidRPr="00D466ED">
        <w:rPr>
          <w:b/>
          <w:szCs w:val="24"/>
        </w:rPr>
        <w:t xml:space="preserve"> </w:t>
      </w:r>
    </w:p>
    <w:p w:rsidR="00FD21A6" w:rsidRPr="00D466ED" w:rsidRDefault="00FD21A6" w:rsidP="00FD21A6">
      <w:pPr>
        <w:ind w:firstLine="720"/>
        <w:rPr>
          <w:szCs w:val="24"/>
        </w:rPr>
      </w:pPr>
      <w:r w:rsidRPr="00D466ED">
        <w:rPr>
          <w:szCs w:val="24"/>
        </w:rPr>
        <w:t xml:space="preserve">According to Local Rule 2.2, 2.4 &amp; 2.6 (L.R. 2.2, 2.4, 2.6) it would have been assigned ancillary cause No. 412249-402 which it was. </w:t>
      </w:r>
    </w:p>
    <w:p w:rsidR="00FD21A6" w:rsidRPr="00D466ED" w:rsidRDefault="00FD21A6" w:rsidP="00FD21A6">
      <w:pPr>
        <w:ind w:firstLine="720"/>
        <w:rPr>
          <w:szCs w:val="24"/>
        </w:rPr>
      </w:pPr>
      <w:r w:rsidRPr="00D466ED">
        <w:rPr>
          <w:szCs w:val="24"/>
        </w:rPr>
        <w:t xml:space="preserve">However, when one searches the docket under 412249, one finds that 412249-402 is missing. A search for 412249-402 returns no information and although a search under “Nelva Brunsting” returns links to all of the ancillary matters including -402, when one opens the file for -402, it is empty. Local Rules 2.3 &amp; 2.4 requires files to remain in their respective ancillary folder and requires the clerk to maintain those records even if the case is closed. </w:t>
      </w:r>
    </w:p>
    <w:p w:rsidR="00FD21A6" w:rsidRPr="002D7CE9" w:rsidRDefault="00FD21A6" w:rsidP="005D6364">
      <w:pPr>
        <w:pStyle w:val="NumPara1"/>
      </w:pPr>
      <w:r w:rsidRPr="00D466ED">
        <w:t xml:space="preserve">When looking through the dockets that </w:t>
      </w:r>
      <w:r w:rsidRPr="00D466ED">
        <w:rPr>
          <w:b/>
          <w:u w:val="single"/>
        </w:rPr>
        <w:t>are populated</w:t>
      </w:r>
      <w:r w:rsidRPr="00D466ED">
        <w:t xml:space="preserve"> one finds the –</w:t>
      </w:r>
      <w:r w:rsidRPr="00D466ED">
        <w:rPr>
          <w:b/>
        </w:rPr>
        <w:t xml:space="preserve">files from </w:t>
      </w:r>
      <w:r w:rsidRPr="00D466ED">
        <w:t>402 in 412249. Those files do not belong in the Core case file (see L.R. 2.5 – 2.5.12)</w:t>
      </w:r>
      <w:r w:rsidR="005D6364">
        <w:t xml:space="preserve"> and </w:t>
      </w:r>
      <w:r w:rsidRPr="00D466ED">
        <w:t>did not appear in the Core case file until 2019</w:t>
      </w:r>
      <w:r w:rsidRPr="00C15BB8">
        <w:t xml:space="preserve">. (Exhibit </w:t>
      </w:r>
      <w:r w:rsidR="005D6364" w:rsidRPr="00C15BB8">
        <w:t>8</w:t>
      </w:r>
      <w:r w:rsidRPr="00C15BB8">
        <w:t>, 402 Docket Sheet Print out October 23, 2018)</w:t>
      </w:r>
    </w:p>
    <w:p w:rsidR="00FD21A6" w:rsidRPr="00D466ED" w:rsidRDefault="00FD21A6" w:rsidP="005D6364">
      <w:pPr>
        <w:pStyle w:val="NumPara1"/>
      </w:pPr>
      <w:r w:rsidRPr="00D466ED">
        <w:rPr>
          <w:highlight w:val="yellow"/>
        </w:rPr>
        <w:t xml:space="preserve">(Exhibit </w:t>
      </w:r>
      <w:r w:rsidR="005D6364">
        <w:rPr>
          <w:highlight w:val="yellow"/>
        </w:rPr>
        <w:t>9</w:t>
      </w:r>
      <w:r w:rsidR="007353DC">
        <w:rPr>
          <w:highlight w:val="yellow"/>
        </w:rPr>
        <w:t>)</w:t>
      </w:r>
      <w:r w:rsidR="005D6364" w:rsidRPr="007353DC">
        <w:t xml:space="preserve"> </w:t>
      </w:r>
      <w:r w:rsidRPr="007353DC">
        <w:t>is the Agreed Order to Consolidate Cases dated March 9, 2013)</w:t>
      </w:r>
      <w:r w:rsidRPr="00D466ED">
        <w:t xml:space="preserve"> </w:t>
      </w:r>
    </w:p>
    <w:p w:rsidR="007353DC" w:rsidRDefault="007353DC" w:rsidP="007353DC">
      <w:r w:rsidRPr="00D466ED">
        <w:t>The -401 case was filed “</w:t>
      </w:r>
      <w:r w:rsidRPr="00D466ED">
        <w:rPr>
          <w:i/>
        </w:rPr>
        <w:t>Carl</w:t>
      </w:r>
      <w:r>
        <w:rPr>
          <w:i/>
        </w:rPr>
        <w:t xml:space="preserve"> Henry Brunsting </w:t>
      </w:r>
      <w:r w:rsidRPr="00D466ED">
        <w:rPr>
          <w:i/>
        </w:rPr>
        <w:t>individually and as independent executor”</w:t>
      </w:r>
      <w:r w:rsidRPr="00D466ED">
        <w:t xml:space="preserve"> and the -402 case was filed </w:t>
      </w:r>
      <w:r w:rsidRPr="00D466ED">
        <w:rPr>
          <w:i/>
        </w:rPr>
        <w:t xml:space="preserve">Candace Louise CURTIS v. Anita Kay Brunsting, Amy Ruth Brunsting and Does 1–100 </w:t>
      </w:r>
      <w:r w:rsidRPr="00D466ED">
        <w:t>and yet, the agreed order to consolidate” represents both -401 and -402 as “</w:t>
      </w:r>
      <w:r w:rsidRPr="00D466ED">
        <w:rPr>
          <w:i/>
        </w:rPr>
        <w:t>Estate of Nelva Brunsting</w:t>
      </w:r>
      <w:r w:rsidRPr="00D466ED">
        <w:t>”</w:t>
      </w:r>
      <w:r>
        <w:t>.</w:t>
      </w:r>
    </w:p>
    <w:p w:rsidR="002D7CE9" w:rsidRPr="00B90310" w:rsidRDefault="002D7CE9" w:rsidP="002D7CE9">
      <w:pPr>
        <w:spacing w:before="100" w:beforeAutospacing="1" w:after="100" w:afterAutospacing="1"/>
        <w:jc w:val="left"/>
        <w:rPr>
          <w:rFonts w:eastAsia="Times New Roman"/>
          <w:szCs w:val="24"/>
        </w:rPr>
      </w:pPr>
      <w:r w:rsidRPr="00B90310">
        <w:rPr>
          <w:rFonts w:eastAsia="Times New Roman"/>
          <w:szCs w:val="24"/>
        </w:rPr>
        <w:t>Feb 19, 2015 Carl submits resignation due to lack of capacity and substitutes his wife Drina as attorney in fact (no ad litem)</w:t>
      </w:r>
    </w:p>
    <w:p w:rsidR="002D7CE9" w:rsidRPr="00B90310" w:rsidRDefault="002D7CE9" w:rsidP="002D7CE9">
      <w:pPr>
        <w:spacing w:before="100" w:beforeAutospacing="1" w:after="100" w:afterAutospacing="1"/>
        <w:jc w:val="left"/>
        <w:rPr>
          <w:rFonts w:eastAsia="Times New Roman"/>
          <w:szCs w:val="24"/>
        </w:rPr>
      </w:pPr>
      <w:r w:rsidRPr="00B90310">
        <w:rPr>
          <w:rFonts w:eastAsia="Times New Roman"/>
          <w:szCs w:val="24"/>
        </w:rPr>
        <w:t>Feb 20, 2015 Judge Butts and the attorneys all sign an agreed docket control order</w:t>
      </w:r>
    </w:p>
    <w:p w:rsidR="002D7CE9" w:rsidRDefault="002D7CE9" w:rsidP="002D7CE9">
      <w:pPr>
        <w:spacing w:before="100" w:beforeAutospacing="1" w:after="100" w:afterAutospacing="1"/>
        <w:jc w:val="left"/>
        <w:rPr>
          <w:rFonts w:eastAsia="Times New Roman"/>
          <w:szCs w:val="24"/>
        </w:rPr>
      </w:pPr>
      <w:r w:rsidRPr="00B90310">
        <w:rPr>
          <w:rFonts w:eastAsia="Times New Roman"/>
          <w:szCs w:val="24"/>
        </w:rPr>
        <w:t xml:space="preserve">March 20, 2015 Judge Butts and the attorneys all sign an </w:t>
      </w:r>
      <w:r>
        <w:rPr>
          <w:rFonts w:eastAsia="Times New Roman"/>
          <w:szCs w:val="24"/>
        </w:rPr>
        <w:t xml:space="preserve">agreed Order to Consolidate “estate of Nelva Brunsting -402 with estate of Nelva Brunsting -401” </w:t>
      </w:r>
    </w:p>
    <w:p w:rsidR="007353DC" w:rsidRDefault="007353DC" w:rsidP="007353DC">
      <w:pPr>
        <w:rPr>
          <w:sz w:val="28"/>
        </w:rPr>
      </w:pPr>
      <w:r w:rsidRPr="002D7CE9">
        <w:rPr>
          <w:sz w:val="28"/>
        </w:rPr>
        <w:t xml:space="preserve">When and how did Candace Louise Curtis v. Amy and Anita Brunsting and Does 1-100 No. 412249-402 become </w:t>
      </w:r>
      <w:r w:rsidR="002D7CE9">
        <w:rPr>
          <w:sz w:val="28"/>
        </w:rPr>
        <w:t>E</w:t>
      </w:r>
      <w:r w:rsidRPr="002D7CE9">
        <w:rPr>
          <w:sz w:val="28"/>
        </w:rPr>
        <w:t>state of Nelva Brunsting No. 412249-402?</w:t>
      </w:r>
    </w:p>
    <w:p w:rsidR="002D7CE9" w:rsidRPr="002D7CE9" w:rsidRDefault="002D7CE9" w:rsidP="007353DC">
      <w:pPr>
        <w:rPr>
          <w:sz w:val="28"/>
        </w:rPr>
      </w:pPr>
      <w:r>
        <w:rPr>
          <w:sz w:val="28"/>
        </w:rPr>
        <w:t>When did Carl Henry Brunsting, Individually and as Independent Executor No. 412249-401 become</w:t>
      </w:r>
      <w:r w:rsidRPr="002D7CE9">
        <w:rPr>
          <w:sz w:val="28"/>
        </w:rPr>
        <w:t xml:space="preserve"> </w:t>
      </w:r>
      <w:r>
        <w:rPr>
          <w:sz w:val="28"/>
        </w:rPr>
        <w:t>E</w:t>
      </w:r>
      <w:r w:rsidRPr="002D7CE9">
        <w:rPr>
          <w:sz w:val="28"/>
        </w:rPr>
        <w:t>state of Nelva Brunsting No. 412249-40</w:t>
      </w:r>
      <w:r>
        <w:rPr>
          <w:sz w:val="28"/>
        </w:rPr>
        <w:t>1</w:t>
      </w:r>
      <w:r w:rsidRPr="002D7CE9">
        <w:rPr>
          <w:sz w:val="28"/>
        </w:rPr>
        <w:t>?</w:t>
      </w:r>
      <w:r>
        <w:rPr>
          <w:sz w:val="28"/>
        </w:rPr>
        <w:t xml:space="preserve"> </w:t>
      </w:r>
    </w:p>
    <w:p w:rsidR="00C15BB8" w:rsidRDefault="00C15BB8" w:rsidP="007353DC">
      <w:pPr>
        <w:pStyle w:val="NumPara1"/>
        <w:numPr>
          <w:ilvl w:val="1"/>
          <w:numId w:val="14"/>
        </w:numPr>
      </w:pPr>
      <w:r>
        <w:lastRenderedPageBreak/>
        <w:t>Who was representing the estate of Nelva Brunsting</w:t>
      </w:r>
      <w:r>
        <w:t xml:space="preserve"> when this agreed order was signed</w:t>
      </w:r>
      <w:r>
        <w:t>?</w:t>
      </w:r>
    </w:p>
    <w:p w:rsidR="00C15BB8" w:rsidRDefault="00C15BB8" w:rsidP="00C15BB8">
      <w:pPr>
        <w:pStyle w:val="NumPara1"/>
        <w:numPr>
          <w:ilvl w:val="1"/>
          <w:numId w:val="14"/>
        </w:numPr>
      </w:pPr>
      <w:r>
        <w:t>Where is the motion?</w:t>
      </w:r>
    </w:p>
    <w:p w:rsidR="00C15BB8" w:rsidRDefault="00C15BB8" w:rsidP="00C15BB8">
      <w:pPr>
        <w:pStyle w:val="NumPara1"/>
        <w:numPr>
          <w:ilvl w:val="1"/>
          <w:numId w:val="14"/>
        </w:numPr>
      </w:pPr>
      <w:r>
        <w:t>When was the hearing?</w:t>
      </w:r>
    </w:p>
    <w:p w:rsidR="002D7CE9" w:rsidRDefault="008C3A80" w:rsidP="008C3A80">
      <w:pPr>
        <w:pStyle w:val="NumPara1"/>
        <w:numPr>
          <w:ilvl w:val="1"/>
          <w:numId w:val="14"/>
        </w:numPr>
      </w:pPr>
      <w:r w:rsidRPr="008C3A80">
        <w:t>Actions do not lose their separate identity because of consolidation. The record reflects a closed estate that no one was representing when this agreement was signed. There was no motion filed and no hearings held and counsel knows of no statute, rule, doctrine, policy, practice or procedure that authorizes disposition by transmogrification wheth</w:t>
      </w:r>
      <w:r>
        <w:t xml:space="preserve">er by agreement or other means. </w:t>
      </w:r>
      <w:r w:rsidR="002D7CE9">
        <w:t xml:space="preserve"> </w:t>
      </w:r>
    </w:p>
    <w:p w:rsidR="00C15BB8" w:rsidRDefault="007353DC" w:rsidP="00C15BB8">
      <w:pPr>
        <w:pStyle w:val="NumPara1"/>
        <w:numPr>
          <w:ilvl w:val="1"/>
          <w:numId w:val="14"/>
        </w:numPr>
      </w:pPr>
      <w:r>
        <w:t>Quid Pro Quo?</w:t>
      </w:r>
    </w:p>
    <w:p w:rsidR="00FD21A6" w:rsidRPr="00D466ED" w:rsidRDefault="007353DC" w:rsidP="002D7CE9">
      <w:pPr>
        <w:pStyle w:val="NumPara1"/>
      </w:pPr>
      <w:r>
        <w:t xml:space="preserve">Curtis fired Ostrom as soon as she saw the “Agreed </w:t>
      </w:r>
      <w:r w:rsidRPr="007353DC">
        <w:t>Order to Consolidate Cases</w:t>
      </w:r>
      <w:r>
        <w:t>”</w:t>
      </w:r>
      <w:r w:rsidRPr="007353DC">
        <w:t xml:space="preserve"> </w:t>
      </w:r>
      <w:r>
        <w:t xml:space="preserve">and the signed order was subsequently removed from the docket record. </w:t>
      </w:r>
      <w:r w:rsidR="00FD21A6" w:rsidRPr="00D466ED">
        <w:t xml:space="preserve">This is the consolidation order referred to in the emails between Carole Brunsting and Clarinda Comstock (exhibit </w:t>
      </w:r>
      <w:r w:rsidR="002D7CE9">
        <w:t>10</w:t>
      </w:r>
      <w:r w:rsidR="00FD21A6" w:rsidRPr="00D466ED">
        <w:t>)</w:t>
      </w:r>
      <w:r w:rsidR="002D7CE9">
        <w:t xml:space="preserve"> in January 2019</w:t>
      </w:r>
      <w:r w:rsidR="00FD21A6" w:rsidRPr="00D466ED">
        <w:t>.</w:t>
      </w:r>
    </w:p>
    <w:p w:rsidR="008D67D1" w:rsidRPr="008D67D1" w:rsidRDefault="006A2723" w:rsidP="008D67D1">
      <w:pPr>
        <w:pStyle w:val="Heading2"/>
      </w:pPr>
      <w:r>
        <w:t xml:space="preserve">A Chronology of the Pending </w:t>
      </w:r>
      <w:r w:rsidR="008D67D1" w:rsidRPr="008D67D1">
        <w:t xml:space="preserve">Dispositive Motions </w:t>
      </w:r>
    </w:p>
    <w:p w:rsidR="002D7CE9" w:rsidRDefault="002D7CE9" w:rsidP="002D7CE9">
      <w:pPr>
        <w:ind w:firstLine="720"/>
      </w:pPr>
      <w:r>
        <w:t xml:space="preserve">Rule 6.1 of the Rules of Judicial Administration </w:t>
      </w:r>
      <w:r>
        <w:t>prescribe</w:t>
      </w:r>
      <w:r w:rsidR="008C3A80">
        <w:t>s</w:t>
      </w:r>
      <w:r>
        <w:t xml:space="preserve"> the period of time in which cases are to be disposed of</w:t>
      </w:r>
      <w:r>
        <w:t xml:space="preserve"> generally:</w:t>
      </w:r>
    </w:p>
    <w:p w:rsidR="002D7CE9" w:rsidRPr="009A7C9B" w:rsidRDefault="002D7CE9" w:rsidP="002D7CE9">
      <w:pPr>
        <w:pStyle w:val="Quote"/>
      </w:pPr>
      <w:proofErr w:type="gramStart"/>
      <w:r w:rsidRPr="009A7C9B">
        <w:t>Rule 6.1 District and Statutory County Courts.</w:t>
      </w:r>
      <w:proofErr w:type="gramEnd"/>
    </w:p>
    <w:p w:rsidR="002D7CE9" w:rsidRPr="009A7C9B" w:rsidRDefault="002D7CE9" w:rsidP="002D7CE9">
      <w:pPr>
        <w:pStyle w:val="Quote"/>
      </w:pPr>
      <w:r w:rsidRPr="009A7C9B">
        <w:t>(a) Civil Cases Other Than Family Law.</w:t>
      </w:r>
      <w:r w:rsidRPr="009A7C9B">
        <w:br/>
        <w:t>    (1) Civil Jury Cases. Within 18 months from appearance date.</w:t>
      </w:r>
      <w:r w:rsidRPr="009A7C9B">
        <w:br/>
        <w:t>    (2) Civil Nonjury Cases. Within 12 months from appearance date</w:t>
      </w:r>
    </w:p>
    <w:p w:rsidR="008C3A80" w:rsidRDefault="008C3A80" w:rsidP="006A2723">
      <w:pPr>
        <w:rPr>
          <w:szCs w:val="24"/>
        </w:rPr>
      </w:pPr>
    </w:p>
    <w:p w:rsidR="006A2723" w:rsidRPr="006A2723" w:rsidRDefault="006A2723" w:rsidP="006A2723">
      <w:pPr>
        <w:rPr>
          <w:szCs w:val="24"/>
        </w:rPr>
      </w:pPr>
      <w:r w:rsidRPr="006A2723">
        <w:rPr>
          <w:szCs w:val="24"/>
        </w:rPr>
        <w:t>June 26, 2015 Defendants Amy and Anita filed their No Evidence Motion claiming Carl and Candace cannot proved their Unholy Grail (8/25/2010 QBD/TPA) is invalid.</w:t>
      </w:r>
    </w:p>
    <w:p w:rsidR="006A2723" w:rsidRPr="006A2723" w:rsidRDefault="006A2723" w:rsidP="006A2723">
      <w:pPr>
        <w:rPr>
          <w:szCs w:val="24"/>
        </w:rPr>
      </w:pPr>
      <w:r w:rsidRPr="006A2723">
        <w:rPr>
          <w:szCs w:val="24"/>
        </w:rPr>
        <w:t>July 8, 2015 Bayless files Carl’s Motion for Summary Judgment</w:t>
      </w:r>
    </w:p>
    <w:p w:rsidR="006A2723" w:rsidRPr="008F6168" w:rsidRDefault="006A2723" w:rsidP="006A2723">
      <w:pPr>
        <w:rPr>
          <w:szCs w:val="24"/>
        </w:rPr>
      </w:pPr>
      <w:r w:rsidRPr="008F6168">
        <w:rPr>
          <w:szCs w:val="24"/>
        </w:rPr>
        <w:t>July 13, 2015 Defendants Amy and Anita Brunsting scheduled the aforesaid dispositive motion for hearing for August 3, 2015 (the Feb 20 DCO deadline for dispositive motions hearings)</w:t>
      </w:r>
    </w:p>
    <w:p w:rsidR="006A2723" w:rsidRPr="008F6168" w:rsidRDefault="006A2723" w:rsidP="006A2723">
      <w:pPr>
        <w:rPr>
          <w:szCs w:val="24"/>
        </w:rPr>
      </w:pPr>
      <w:r w:rsidRPr="008F6168">
        <w:rPr>
          <w:szCs w:val="24"/>
        </w:rPr>
        <w:t>July 13, 2015 Bayless scheduled Carl’s dispositive motion for hearing for August 3, 2015.</w:t>
      </w:r>
    </w:p>
    <w:p w:rsidR="006A2723" w:rsidRPr="006A2723" w:rsidRDefault="006A2723" w:rsidP="006A2723">
      <w:pPr>
        <w:rPr>
          <w:szCs w:val="24"/>
        </w:rPr>
      </w:pPr>
      <w:r w:rsidRPr="006A2723">
        <w:rPr>
          <w:szCs w:val="24"/>
        </w:rPr>
        <w:t>Later in the day on July 13, 2015 Curtis filed her answer to the no evidence motion pointing out there was no burden requiring her to disprove a fact not in evidence and demanding that Defendants produce the archetype of the August 25, 2010 QBD/TPA (and not a copy), and qualify it as evidence</w:t>
      </w:r>
      <w:r w:rsidR="008C3A80">
        <w:rPr>
          <w:szCs w:val="24"/>
        </w:rPr>
        <w:t>. That’s</w:t>
      </w:r>
      <w:r w:rsidRPr="006A2723">
        <w:rPr>
          <w:szCs w:val="24"/>
        </w:rPr>
        <w:t xml:space="preserve"> </w:t>
      </w:r>
      <w:r w:rsidR="008C3A80">
        <w:rPr>
          <w:szCs w:val="24"/>
        </w:rPr>
        <w:t xml:space="preserve">when </w:t>
      </w:r>
      <w:r w:rsidRPr="006A2723">
        <w:rPr>
          <w:szCs w:val="24"/>
        </w:rPr>
        <w:t>they ran like cockroaches when the lights come on.</w:t>
      </w:r>
    </w:p>
    <w:p w:rsidR="006A2723" w:rsidRDefault="006A2723" w:rsidP="006A2723">
      <w:pPr>
        <w:ind w:firstLine="720"/>
        <w:rPr>
          <w:szCs w:val="24"/>
        </w:rPr>
      </w:pPr>
      <w:r w:rsidRPr="008F6168">
        <w:rPr>
          <w:szCs w:val="24"/>
        </w:rPr>
        <w:t xml:space="preserve">Suddenly dispositive motions hearings </w:t>
      </w:r>
      <w:r>
        <w:rPr>
          <w:szCs w:val="24"/>
        </w:rPr>
        <w:t>were displaced to hear</w:t>
      </w:r>
      <w:r w:rsidRPr="008F6168">
        <w:rPr>
          <w:szCs w:val="24"/>
        </w:rPr>
        <w:t xml:space="preserve"> an “EMERGENCY MOTION” for protective order involving wiretap recordings that had been disseminated on CD-ROM via certified mail from the office of Stephen Mendel. There was no notice of hearing, everything just changed and there were no findings of fact, conclusions of law or order after that </w:t>
      </w:r>
      <w:r>
        <w:rPr>
          <w:szCs w:val="24"/>
        </w:rPr>
        <w:t xml:space="preserve">August 3, 2015 </w:t>
      </w:r>
      <w:r w:rsidRPr="008F6168">
        <w:rPr>
          <w:szCs w:val="24"/>
        </w:rPr>
        <w:t>hearing. (Take judicial Notice of the Record)</w:t>
      </w:r>
    </w:p>
    <w:p w:rsidR="0066426B" w:rsidRPr="008F6168" w:rsidRDefault="006A2723" w:rsidP="006A2723">
      <w:pPr>
        <w:rPr>
          <w:szCs w:val="24"/>
        </w:rPr>
      </w:pPr>
      <w:r>
        <w:rPr>
          <w:szCs w:val="24"/>
        </w:rPr>
        <w:t>That was the last time we saw a docket control order</w:t>
      </w:r>
      <w:r w:rsidR="0066426B">
        <w:rPr>
          <w:szCs w:val="24"/>
        </w:rPr>
        <w:t>.</w:t>
      </w:r>
      <w:r w:rsidR="008C3A80">
        <w:rPr>
          <w:szCs w:val="24"/>
        </w:rPr>
        <w:t xml:space="preserve"> </w:t>
      </w:r>
    </w:p>
    <w:p w:rsidR="00B90310" w:rsidRDefault="006A2723" w:rsidP="006A2723">
      <w:pPr>
        <w:pStyle w:val="NumPara1"/>
      </w:pPr>
      <w:r>
        <w:lastRenderedPageBreak/>
        <w:t xml:space="preserve">January 25, 2016 Plaintiff Curtis filed her summary judgment motions but was frustrated in her efforts to get a hearing. (Exhibit 11, Transcript of March 9, 2016) </w:t>
      </w:r>
      <w:r w:rsidR="0066426B">
        <w:t>At a hearing on March 9, 2016 Curtis makes it clear that she wanted her dispositive motions heard.</w:t>
      </w:r>
      <w:r w:rsidR="0066426B">
        <w:rPr>
          <w:rStyle w:val="FootnoteReference"/>
        </w:rPr>
        <w:footnoteReference w:id="6"/>
      </w:r>
      <w:r w:rsidR="0066426B">
        <w:t xml:space="preserve"> This is also where Mr. Spielman goes into his first diatribe about how trust beneficiary Candace Curtis needs to be held accountable.  </w:t>
      </w:r>
    </w:p>
    <w:p w:rsidR="008D67D1" w:rsidRDefault="008D67D1"/>
    <w:p w:rsidR="00B57F29" w:rsidRDefault="00B57F29" w:rsidP="00960C83">
      <w:r>
        <w:t xml:space="preserve">The intermediate estates (verified inventories, appraisements and lists of claims) were closed April 4, 2013 when the inventories were approved and drop orders issued. </w:t>
      </w:r>
    </w:p>
    <w:p w:rsidR="003B4DEB" w:rsidRDefault="00B57F29" w:rsidP="00960C83">
      <w:pPr>
        <w:rPr>
          <w:iCs/>
        </w:rPr>
      </w:pPr>
      <w:r>
        <w:t>At that juncture t</w:t>
      </w:r>
      <w:r w:rsidR="00960C83" w:rsidRPr="00960C83">
        <w:t xml:space="preserve">here were no </w:t>
      </w:r>
      <w:r w:rsidR="00960C83" w:rsidRPr="00960C83">
        <w:rPr>
          <w:iCs/>
        </w:rPr>
        <w:t xml:space="preserve">parts or portions of the will </w:t>
      </w:r>
      <w:r>
        <w:rPr>
          <w:iCs/>
        </w:rPr>
        <w:t xml:space="preserve">left </w:t>
      </w:r>
      <w:r w:rsidR="00960C83" w:rsidRPr="00960C83">
        <w:rPr>
          <w:iCs/>
        </w:rPr>
        <w:t>unexecuted</w:t>
      </w:r>
      <w:r>
        <w:rPr>
          <w:iCs/>
        </w:rPr>
        <w:t xml:space="preserve"> and t</w:t>
      </w:r>
      <w:r w:rsidR="00960C83" w:rsidRPr="00960C83">
        <w:rPr>
          <w:iCs/>
        </w:rPr>
        <w:t xml:space="preserve">he clerk properly labeled the </w:t>
      </w:r>
      <w:r>
        <w:rPr>
          <w:iCs/>
        </w:rPr>
        <w:t xml:space="preserve">docket for the </w:t>
      </w:r>
      <w:r w:rsidR="00960C83" w:rsidRPr="00960C83">
        <w:rPr>
          <w:iCs/>
        </w:rPr>
        <w:t>“estate” as closed</w:t>
      </w:r>
      <w:r>
        <w:rPr>
          <w:iCs/>
        </w:rPr>
        <w:t>. T</w:t>
      </w:r>
      <w:r w:rsidR="00960C83">
        <w:rPr>
          <w:iCs/>
        </w:rPr>
        <w:t xml:space="preserve">he only “further actions” that could be taken thereafter </w:t>
      </w:r>
      <w:r w:rsidR="003B4DEB">
        <w:rPr>
          <w:iCs/>
        </w:rPr>
        <w:t xml:space="preserve">without filing a bill of review to reopen the estate, </w:t>
      </w:r>
      <w:r w:rsidR="00960C83">
        <w:rPr>
          <w:iCs/>
        </w:rPr>
        <w:t>were purely administrative</w:t>
      </w:r>
      <w:r w:rsidR="003B4DEB">
        <w:rPr>
          <w:iCs/>
        </w:rPr>
        <w:t xml:space="preserve"> such as additions or corrections to the inventor</w:t>
      </w:r>
      <w:r>
        <w:rPr>
          <w:iCs/>
        </w:rPr>
        <w:t>ies</w:t>
      </w:r>
      <w:r w:rsidR="003B4DEB">
        <w:rPr>
          <w:iCs/>
        </w:rPr>
        <w:t>.</w:t>
      </w:r>
      <w:r w:rsidR="00AE5854">
        <w:rPr>
          <w:iCs/>
        </w:rPr>
        <w:t xml:space="preserve"> (§ 402.001)</w:t>
      </w:r>
    </w:p>
    <w:p w:rsidR="00B57F29" w:rsidRDefault="003B4DEB" w:rsidP="003B4DEB">
      <w:pPr>
        <w:rPr>
          <w:iCs/>
        </w:rPr>
      </w:pPr>
      <w:r>
        <w:rPr>
          <w:iCs/>
        </w:rPr>
        <w:t>No adverse claims to rights in property within the approved inventory were ever filed</w:t>
      </w:r>
      <w:r w:rsidR="00B7185F">
        <w:rPr>
          <w:iCs/>
        </w:rPr>
        <w:t xml:space="preserve"> and none were pending</w:t>
      </w:r>
      <w:r>
        <w:rPr>
          <w:iCs/>
        </w:rPr>
        <w:t>.</w:t>
      </w:r>
      <w:r w:rsidR="00B7185F">
        <w:rPr>
          <w:iCs/>
        </w:rPr>
        <w:t xml:space="preserve"> </w:t>
      </w:r>
      <w:r>
        <w:rPr>
          <w:iCs/>
        </w:rPr>
        <w:t>No claims against the independent executor were ever filed and the order accepting resignation relieved Carl of any potential executor related liability.</w:t>
      </w:r>
      <w:r w:rsidR="00B57F29">
        <w:rPr>
          <w:iCs/>
        </w:rPr>
        <w:t xml:space="preserve"> </w:t>
      </w:r>
      <w:r w:rsidR="0066426B">
        <w:rPr>
          <w:iCs/>
        </w:rPr>
        <w:t>Was there an order?</w:t>
      </w:r>
    </w:p>
    <w:p w:rsidR="00705F47" w:rsidRDefault="00705F47" w:rsidP="00677990">
      <w:pPr>
        <w:pStyle w:val="Heading2"/>
      </w:pPr>
      <w:r>
        <w:t>The Motion</w:t>
      </w:r>
      <w:r w:rsidRPr="00705F47">
        <w:t xml:space="preserve"> </w:t>
      </w:r>
      <w:r>
        <w:t>to Appoint Personal Representative</w:t>
      </w:r>
    </w:p>
    <w:p w:rsidR="00381CB5" w:rsidRPr="00B57F29" w:rsidRDefault="00911CC7" w:rsidP="00B57F29">
      <w:r w:rsidRPr="00B57F29">
        <w:t xml:space="preserve">The first motion in the present series seeks the appointment of a personal representative for the estates of Elmer and Nelva Brunsting. </w:t>
      </w:r>
    </w:p>
    <w:p w:rsidR="00B57F29" w:rsidRDefault="00911CC7" w:rsidP="00911CC7">
      <w:r w:rsidRPr="00B57F29">
        <w:t xml:space="preserve">Title 2 Subtitle I Chapter 404 is controlling.  § 404.004(a) allows the appointment of a successor to an independent executor </w:t>
      </w:r>
      <w:r w:rsidRPr="00B57F29">
        <w:rPr>
          <w:b/>
        </w:rPr>
        <w:t>only</w:t>
      </w:r>
      <w:r w:rsidRPr="00B57F29">
        <w:t xml:space="preserve"> where the independent executor has ceased to serve </w:t>
      </w:r>
      <w:r w:rsidRPr="00B57F29">
        <w:rPr>
          <w:i/>
          <w:iCs/>
        </w:rPr>
        <w:t>leaving parts or portions of the will unexecuted</w:t>
      </w:r>
      <w:r w:rsidRPr="00B57F29">
        <w:t>.</w:t>
      </w:r>
      <w:r w:rsidR="00705F47" w:rsidRPr="00B57F29">
        <w:t xml:space="preserve"> </w:t>
      </w:r>
    </w:p>
    <w:p w:rsidR="008D67D1" w:rsidRDefault="008D67D1" w:rsidP="00645B4C"/>
    <w:p w:rsidR="00645B4C" w:rsidRDefault="00705F47" w:rsidP="00645B4C">
      <w:r>
        <w:t>CONCLUSION</w:t>
      </w:r>
      <w:proofErr w:type="gramStart"/>
      <w:r>
        <w:t>:</w:t>
      </w:r>
      <w:proofErr w:type="gramEnd"/>
      <w:r>
        <w:br/>
      </w:r>
      <w:r w:rsidRPr="00B7185F">
        <w:rPr>
          <w:iCs/>
        </w:rPr>
        <w:t>The probate court lack</w:t>
      </w:r>
      <w:r>
        <w:rPr>
          <w:iCs/>
        </w:rPr>
        <w:t>s the</w:t>
      </w:r>
      <w:r w:rsidRPr="00B7185F">
        <w:rPr>
          <w:iCs/>
        </w:rPr>
        <w:t xml:space="preserve"> jurisdiction</w:t>
      </w:r>
      <w:r>
        <w:rPr>
          <w:iCs/>
        </w:rPr>
        <w:t xml:space="preserve"> </w:t>
      </w:r>
      <w:r w:rsidRPr="00B7185F">
        <w:rPr>
          <w:iCs/>
        </w:rPr>
        <w:t>to appoint a successor administrator or reopen the</w:t>
      </w:r>
      <w:r>
        <w:rPr>
          <w:iCs/>
        </w:rPr>
        <w:t xml:space="preserve"> </w:t>
      </w:r>
      <w:r w:rsidRPr="00B7185F">
        <w:rPr>
          <w:iCs/>
        </w:rPr>
        <w:t xml:space="preserve">probate estate without first setting aside the </w:t>
      </w:r>
      <w:r>
        <w:rPr>
          <w:iCs/>
        </w:rPr>
        <w:t xml:space="preserve">April 4, 2013 </w:t>
      </w:r>
      <w:r w:rsidRPr="00B7185F">
        <w:rPr>
          <w:iCs/>
        </w:rPr>
        <w:t xml:space="preserve">orders by </w:t>
      </w:r>
      <w:r w:rsidR="00271110">
        <w:rPr>
          <w:iCs/>
        </w:rPr>
        <w:t>B</w:t>
      </w:r>
      <w:r w:rsidRPr="00B7185F">
        <w:rPr>
          <w:iCs/>
        </w:rPr>
        <w:t>ill of</w:t>
      </w:r>
      <w:r>
        <w:rPr>
          <w:iCs/>
        </w:rPr>
        <w:t xml:space="preserve"> R</w:t>
      </w:r>
      <w:r w:rsidRPr="00B7185F">
        <w:rPr>
          <w:iCs/>
        </w:rPr>
        <w:t>eview</w:t>
      </w:r>
      <w:r>
        <w:rPr>
          <w:iCs/>
        </w:rPr>
        <w:t xml:space="preserve">. </w:t>
      </w:r>
      <w:r w:rsidR="00645B4C">
        <w:t>§ 55.251 (b) establishes a two-year limitations period for bills of review attacking a probate decision, order, or judgment and thus</w:t>
      </w:r>
      <w:r w:rsidR="00271110">
        <w:t>,</w:t>
      </w:r>
      <w:r w:rsidR="00645B4C">
        <w:t xml:space="preserve"> there are no equitable bills of review in a probate proceeding.</w:t>
      </w:r>
      <w:r w:rsidR="00AD3D58">
        <w:rPr>
          <w:rStyle w:val="FootnoteReference"/>
        </w:rPr>
        <w:footnoteReference w:id="7"/>
      </w:r>
    </w:p>
    <w:p w:rsidR="00271110" w:rsidRDefault="00705F47" w:rsidP="00705F47">
      <w:pPr>
        <w:rPr>
          <w:iCs/>
        </w:rPr>
      </w:pPr>
      <w:r>
        <w:rPr>
          <w:iCs/>
        </w:rPr>
        <w:t xml:space="preserve">No Bill of review was filed within the </w:t>
      </w:r>
      <w:r w:rsidR="00D87BEA">
        <w:rPr>
          <w:iCs/>
        </w:rPr>
        <w:t xml:space="preserve">limitations </w:t>
      </w:r>
      <w:r>
        <w:rPr>
          <w:iCs/>
        </w:rPr>
        <w:t>periods</w:t>
      </w:r>
      <w:r w:rsidR="00D87BEA">
        <w:rPr>
          <w:iCs/>
        </w:rPr>
        <w:t xml:space="preserve"> and i</w:t>
      </w:r>
      <w:r w:rsidR="00645B4C">
        <w:rPr>
          <w:iCs/>
        </w:rPr>
        <w:t xml:space="preserve">n the absence of extrinsic fraud that would toll these limitations </w:t>
      </w:r>
      <w:r w:rsidR="00271110">
        <w:rPr>
          <w:iCs/>
        </w:rPr>
        <w:t xml:space="preserve">by statute, </w:t>
      </w:r>
      <w:r>
        <w:rPr>
          <w:iCs/>
        </w:rPr>
        <w:t>the estate will remain closed for all time.</w:t>
      </w:r>
      <w:r w:rsidR="00645B4C">
        <w:rPr>
          <w:iCs/>
        </w:rPr>
        <w:t xml:space="preserve"> </w:t>
      </w:r>
    </w:p>
    <w:p w:rsidR="00645B4C" w:rsidRDefault="00645B4C" w:rsidP="00645B4C">
      <w:pPr>
        <w:rPr>
          <w:iCs/>
        </w:rPr>
      </w:pPr>
      <w:r>
        <w:rPr>
          <w:iCs/>
        </w:rPr>
        <w:t xml:space="preserve">All right, title and interest to the inventoried assets vested in the beneficiaries of the trust at the death of the testators </w:t>
      </w:r>
      <w:r w:rsidR="00397E59">
        <w:rPr>
          <w:iCs/>
        </w:rPr>
        <w:t xml:space="preserve">(§ 101.001) </w:t>
      </w:r>
      <w:r>
        <w:rPr>
          <w:iCs/>
        </w:rPr>
        <w:t xml:space="preserve">and the right of immediate possession vested in the trustees at the approval of the inventory. </w:t>
      </w:r>
    </w:p>
    <w:p w:rsidR="00AE5854" w:rsidRDefault="00397E59" w:rsidP="00645B4C">
      <w:r>
        <w:t>T</w:t>
      </w:r>
      <w:r w:rsidR="00AD3D58">
        <w:t>he duty to prosecute the breach of fiduciary and malpractice claims against the estate planning attorneys</w:t>
      </w:r>
      <w:r>
        <w:t xml:space="preserve"> is not</w:t>
      </w:r>
      <w:r w:rsidR="00AD3D58">
        <w:t xml:space="preserve"> </w:t>
      </w:r>
      <w:r>
        <w:t xml:space="preserve">vested in </w:t>
      </w:r>
      <w:r w:rsidR="00AD3D58">
        <w:t>the representative for a</w:t>
      </w:r>
      <w:r>
        <w:t xml:space="preserve"> testamentary trust (§ 101.003</w:t>
      </w:r>
      <w:r w:rsidR="00AE5854">
        <w:t xml:space="preserve"> </w:t>
      </w:r>
      <w:proofErr w:type="spellStart"/>
      <w:r w:rsidR="00AE5854">
        <w:t>a.k.a</w:t>
      </w:r>
      <w:proofErr w:type="spellEnd"/>
      <w:r w:rsidR="00AE5854">
        <w:t xml:space="preserve"> decedents estate</w:t>
      </w:r>
      <w:r>
        <w:t xml:space="preserve">) </w:t>
      </w:r>
      <w:r w:rsidR="00AD3D58">
        <w:t>that was never formed. (</w:t>
      </w:r>
      <w:r>
        <w:t xml:space="preserve">§ </w:t>
      </w:r>
      <w:r w:rsidR="00AD3D58">
        <w:t>254.001)</w:t>
      </w:r>
      <w:r>
        <w:t xml:space="preserve"> </w:t>
      </w:r>
    </w:p>
    <w:p w:rsidR="00271110" w:rsidRDefault="00397E59" w:rsidP="00645B4C">
      <w:r>
        <w:lastRenderedPageBreak/>
        <w:t xml:space="preserve">The obligation to prosecute those claims </w:t>
      </w:r>
      <w:r w:rsidR="00AE5854">
        <w:t xml:space="preserve">would normally fall </w:t>
      </w:r>
      <w:r>
        <w:t>to the trustees</w:t>
      </w:r>
      <w:r w:rsidR="00381CB5">
        <w:t xml:space="preserve"> and their substitution would be a simple matter covered under the relation back doctrine.</w:t>
      </w:r>
      <w:r w:rsidR="00AE5854">
        <w:t xml:space="preserve"> However, </w:t>
      </w:r>
      <w:r>
        <w:t>where, as here, alleged trustee</w:t>
      </w:r>
      <w:r w:rsidR="00AE5854">
        <w:t>s who are also beneficiaries,</w:t>
      </w:r>
      <w:r>
        <w:t xml:space="preserve"> are conflicted and have failed to act due to their own malfeasance</w:t>
      </w:r>
      <w:r w:rsidR="00AE5854">
        <w:t>, the right of claims falls to the remaining beneficiaries, two of whom are the de jure trustees under the valid trust instruments</w:t>
      </w:r>
      <w:r w:rsidR="00D87BEA">
        <w:t xml:space="preserve"> whose ability to enforce the trust have been tortuously interfered with by the Defendants occupation of the office and refusal to honor the obligations of said office.</w:t>
      </w:r>
      <w:r w:rsidR="00381CB5">
        <w:t xml:space="preserve"> </w:t>
      </w:r>
    </w:p>
    <w:p w:rsidR="00397E59" w:rsidRPr="00D87BEA" w:rsidRDefault="00381CB5" w:rsidP="00645B4C">
      <w:pPr>
        <w:rPr>
          <w:b/>
        </w:rPr>
      </w:pPr>
      <w:r w:rsidRPr="00D87BEA">
        <w:rPr>
          <w:b/>
        </w:rPr>
        <w:t>Note that we are talking about a</w:t>
      </w:r>
      <w:r w:rsidR="00D87BEA">
        <w:rPr>
          <w:b/>
        </w:rPr>
        <w:t xml:space="preserve">n inter vivos </w:t>
      </w:r>
      <w:r w:rsidRPr="00D87BEA">
        <w:rPr>
          <w:b/>
        </w:rPr>
        <w:t xml:space="preserve">trust </w:t>
      </w:r>
      <w:r w:rsidR="00D87BEA">
        <w:rPr>
          <w:b/>
        </w:rPr>
        <w:t xml:space="preserve">funded years earlier </w:t>
      </w:r>
      <w:r w:rsidRPr="00D87BEA">
        <w:rPr>
          <w:b/>
        </w:rPr>
        <w:t>and not a</w:t>
      </w:r>
      <w:r w:rsidR="00271110" w:rsidRPr="00D87BEA">
        <w:rPr>
          <w:b/>
        </w:rPr>
        <w:t xml:space="preserve"> decedent’s</w:t>
      </w:r>
      <w:r w:rsidRPr="00D87BEA">
        <w:rPr>
          <w:b/>
        </w:rPr>
        <w:t xml:space="preserve"> estate.</w:t>
      </w:r>
    </w:p>
    <w:p w:rsidR="00381CB5" w:rsidRDefault="00381CB5" w:rsidP="00381CB5">
      <w:r>
        <w:t>Th</w:t>
      </w:r>
      <w:r w:rsidR="00D87BEA">
        <w:t>e</w:t>
      </w:r>
      <w:r>
        <w:t xml:space="preserve"> motion for the appointment of a personal representative for the estates of Elmer and Nelva Brunsting was filed by the estate planning attorney defendants. These are the same estate planning attorneys who promised their clients, Elmer and Nelva Brunsting, the trust settlors, that their products and services would avoid probate and guardianship and facilitate the seamless transfer of their assets to their intended beneficiaries?</w:t>
      </w:r>
    </w:p>
    <w:p w:rsidR="00553C13" w:rsidRDefault="00381CB5" w:rsidP="00381CB5">
      <w:r>
        <w:t>Was any of that true?</w:t>
      </w:r>
      <w:r w:rsidR="00271110">
        <w:t xml:space="preserve"> </w:t>
      </w:r>
    </w:p>
    <w:p w:rsidR="00381CB5" w:rsidRDefault="00271110" w:rsidP="00381CB5">
      <w:r>
        <w:t>Have the estate planning attorney Defendants come forth to uphold fiduciary obligations and defend the efficacy of their products by explaining to the court why we do not belong here?</w:t>
      </w:r>
    </w:p>
    <w:p w:rsidR="00381CB5" w:rsidRDefault="00381CB5" w:rsidP="00677990">
      <w:pPr>
        <w:pStyle w:val="Heading2"/>
      </w:pPr>
      <w:r>
        <w:t>Jurisdiction over Trusts and Trustees</w:t>
      </w:r>
    </w:p>
    <w:p w:rsidR="000F30A5" w:rsidRPr="00724FE9" w:rsidRDefault="00381CB5" w:rsidP="00F22058">
      <w:pPr>
        <w:pStyle w:val="NumPara1"/>
      </w:pPr>
      <w:r>
        <w:t>Trusts are governed under the property code, not the probate code</w:t>
      </w:r>
      <w:r w:rsidR="0040423D">
        <w:t xml:space="preserve">. </w:t>
      </w:r>
      <w:r w:rsidR="00553C13">
        <w:t>Probate Matters are matters in rem. Actions against trustees and executors are matter in personam.</w:t>
      </w:r>
      <w:r w:rsidR="000F30A5" w:rsidRPr="000F30A5">
        <w:t xml:space="preserve"> </w:t>
      </w:r>
      <w:r w:rsidR="000F30A5" w:rsidRPr="00724FE9">
        <w:t>All probate proceedings from start to finish are matters in rem. (§ 32.001(d))</w:t>
      </w:r>
    </w:p>
    <w:p w:rsidR="00553C13" w:rsidRDefault="0040423D" w:rsidP="00702BF3">
      <w:pPr>
        <w:ind w:firstLine="720"/>
      </w:pPr>
      <w:r>
        <w:t>E</w:t>
      </w:r>
      <w:r w:rsidR="00381CB5" w:rsidRPr="00381CB5">
        <w:t>xcept as provided by Subsection (d) of</w:t>
      </w:r>
      <w:r>
        <w:t xml:space="preserve"> § 115.001 of the property code,</w:t>
      </w:r>
      <w:r w:rsidR="00553C13">
        <w:t xml:space="preserve"> the</w:t>
      </w:r>
      <w:r>
        <w:t xml:space="preserve"> </w:t>
      </w:r>
      <w:r w:rsidRPr="0040423D">
        <w:t>district court has original and exclusive jurisdiction over all proceedings by or against a trustee and all proceedings concerning trusts</w:t>
      </w:r>
      <w:r>
        <w:t xml:space="preserve">. </w:t>
      </w:r>
      <w:r w:rsidRPr="00381CB5">
        <w:t>Subsection (d)</w:t>
      </w:r>
      <w:r>
        <w:t xml:space="preserve"> (1) provides </w:t>
      </w:r>
      <w:r w:rsidR="00553C13">
        <w:t>a</w:t>
      </w:r>
      <w:r>
        <w:t xml:space="preserve"> limited exception “</w:t>
      </w:r>
      <w:r w:rsidRPr="00553C13">
        <w:rPr>
          <w:i/>
        </w:rPr>
        <w:t>for jurisdiction conferred by law on a statutory probate court</w:t>
      </w:r>
      <w:r>
        <w:t xml:space="preserve">”. </w:t>
      </w:r>
    </w:p>
    <w:p w:rsidR="0040423D" w:rsidRPr="00381CB5" w:rsidRDefault="0040423D" w:rsidP="00702BF3">
      <w:pPr>
        <w:ind w:firstLine="720"/>
      </w:pPr>
      <w:r>
        <w:t>General probate jurisdiction is defined by § 32.001</w:t>
      </w:r>
      <w:r w:rsidR="00553C13">
        <w:t>. S</w:t>
      </w:r>
      <w:r>
        <w:t xml:space="preserve">ubsection </w:t>
      </w:r>
      <w:r w:rsidRPr="0040423D">
        <w:t xml:space="preserve">(b) </w:t>
      </w:r>
      <w:r w:rsidR="00553C13">
        <w:t>authorizes</w:t>
      </w:r>
      <w:r>
        <w:t xml:space="preserve"> the </w:t>
      </w:r>
      <w:r w:rsidRPr="0040423D">
        <w:t xml:space="preserve">exercise </w:t>
      </w:r>
      <w:r>
        <w:t xml:space="preserve">of </w:t>
      </w:r>
      <w:r w:rsidRPr="0040423D">
        <w:t>pendent and ancillary jurisdiction as necessary to promote judicial efficiency and economy.</w:t>
      </w:r>
      <w:r w:rsidR="00553C13">
        <w:t xml:space="preserve"> </w:t>
      </w:r>
      <w:r>
        <w:t xml:space="preserve">However, the </w:t>
      </w:r>
      <w:r w:rsidRPr="0040423D">
        <w:t xml:space="preserve">exercise </w:t>
      </w:r>
      <w:r>
        <w:t xml:space="preserve">of </w:t>
      </w:r>
      <w:r w:rsidRPr="0040423D">
        <w:t>pendent and ancillary jurisdiction</w:t>
      </w:r>
      <w:r>
        <w:t xml:space="preserve"> </w:t>
      </w:r>
      <w:r w:rsidR="00271110">
        <w:t>is limited to pending estates. There was no pending estate when the -401 action was filed and this court d</w:t>
      </w:r>
      <w:r w:rsidR="00702BF3">
        <w:t>oes</w:t>
      </w:r>
      <w:r w:rsidR="00271110">
        <w:t xml:space="preserve"> not have jurisdiction to take cognizance of a trust related action where there is no pending probate. </w:t>
      </w:r>
    </w:p>
    <w:p w:rsidR="008D67D1" w:rsidRDefault="008D67D1">
      <w:pPr>
        <w:rPr>
          <w:rFonts w:eastAsiaTheme="majorEastAsia"/>
          <w:b/>
          <w:sz w:val="32"/>
          <w:szCs w:val="32"/>
        </w:rPr>
      </w:pPr>
    </w:p>
    <w:p w:rsidR="00112C5A" w:rsidRDefault="00112C5A">
      <w:pPr>
        <w:rPr>
          <w:b/>
        </w:rPr>
      </w:pPr>
      <w:r>
        <w:br w:type="page"/>
      </w:r>
    </w:p>
    <w:p w:rsidR="00B57F29" w:rsidRDefault="00B57F29" w:rsidP="00677990">
      <w:pPr>
        <w:pStyle w:val="Heading2"/>
      </w:pPr>
      <w:r>
        <w:lastRenderedPageBreak/>
        <w:t>Do we normally sanction nominal defendants?</w:t>
      </w:r>
    </w:p>
    <w:p w:rsidR="000F545F" w:rsidRDefault="003744AE" w:rsidP="000F545F">
      <w:r>
        <w:t xml:space="preserve">The docket shows PLAINTIFF CURTIS as a defendant but does not appear to have ever shown her as a Plaintiff. </w:t>
      </w:r>
    </w:p>
    <w:tbl>
      <w:tblPr>
        <w:tblStyle w:val="TableGrid"/>
        <w:tblW w:w="0" w:type="auto"/>
        <w:tblLook w:val="04A0" w:firstRow="1" w:lastRow="0" w:firstColumn="1" w:lastColumn="0" w:noHBand="0" w:noVBand="1"/>
      </w:tblPr>
      <w:tblGrid>
        <w:gridCol w:w="9576"/>
      </w:tblGrid>
      <w:tr w:rsidR="003744AE" w:rsidTr="003744AE">
        <w:tc>
          <w:tcPr>
            <w:tcW w:w="9576" w:type="dxa"/>
          </w:tcPr>
          <w:p w:rsidR="003744AE" w:rsidRDefault="003744AE" w:rsidP="003744AE">
            <w:pPr>
              <w:rPr>
                <w:szCs w:val="24"/>
              </w:rPr>
            </w:pPr>
            <w:r w:rsidRPr="00BE23EE">
              <w:rPr>
                <w:szCs w:val="24"/>
              </w:rPr>
              <w:t xml:space="preserve">According to Carl’s Original Petition </w:t>
            </w:r>
            <w:r>
              <w:rPr>
                <w:szCs w:val="24"/>
              </w:rPr>
              <w:t xml:space="preserve">in 412249-401 </w:t>
            </w:r>
            <w:r w:rsidRPr="00BE23EE">
              <w:rPr>
                <w:szCs w:val="24"/>
              </w:rPr>
              <w:t>filed April 9, 2013 page 4, paragraph 6.</w:t>
            </w:r>
          </w:p>
          <w:p w:rsidR="003744AE" w:rsidRPr="00BE23EE" w:rsidRDefault="003744AE" w:rsidP="003744AE">
            <w:pPr>
              <w:rPr>
                <w:szCs w:val="24"/>
              </w:rPr>
            </w:pPr>
            <w:r w:rsidRPr="00BE23EE">
              <w:rPr>
                <w:szCs w:val="24"/>
              </w:rPr>
              <w:t xml:space="preserve"> </w:t>
            </w:r>
          </w:p>
          <w:p w:rsidR="003744AE" w:rsidRPr="00BE23EE" w:rsidRDefault="003744AE" w:rsidP="00093585">
            <w:pPr>
              <w:pStyle w:val="Quote"/>
            </w:pPr>
            <w:r w:rsidRPr="00BE23EE">
              <w:t>“Candace Louise Curtis ("Candy") is Carl's sister. Candy is named in this action only because these claims impact her rights as a beneficiary of various trusts. Plaintiff does not seek to recover any damages from Candy”</w:t>
            </w:r>
          </w:p>
          <w:p w:rsidR="003744AE" w:rsidRDefault="003744AE" w:rsidP="003744AE">
            <w:pPr>
              <w:rPr>
                <w:szCs w:val="24"/>
              </w:rPr>
            </w:pPr>
          </w:p>
          <w:p w:rsidR="003744AE" w:rsidRPr="00BE23EE" w:rsidRDefault="003744AE" w:rsidP="003744AE">
            <w:pPr>
              <w:rPr>
                <w:szCs w:val="24"/>
              </w:rPr>
            </w:pPr>
            <w:r w:rsidRPr="00BE23EE">
              <w:rPr>
                <w:szCs w:val="24"/>
              </w:rPr>
              <w:t>Carl FIRST AMENDED PETITION June 10, 2013 page 4, paragraph 6.</w:t>
            </w:r>
          </w:p>
          <w:p w:rsidR="003744AE" w:rsidRDefault="003744AE" w:rsidP="00093585">
            <w:pPr>
              <w:pStyle w:val="Quote"/>
            </w:pPr>
          </w:p>
          <w:p w:rsidR="003744AE" w:rsidRPr="00B57F29" w:rsidRDefault="003744AE" w:rsidP="00093585">
            <w:pPr>
              <w:pStyle w:val="Quote"/>
            </w:pPr>
            <w:r w:rsidRPr="00BE23EE">
              <w:t>“Candace Louise Curtis ("Candy") is Carl's sister. Candy is named in this action only because these claims impact her rights as a beneficiary of various trusts. Plaintiff does not seek to recover any damages from Candy”</w:t>
            </w:r>
          </w:p>
        </w:tc>
      </w:tr>
    </w:tbl>
    <w:p w:rsidR="00A666CE" w:rsidRDefault="00A666CE" w:rsidP="000F545F">
      <w:pPr>
        <w:pStyle w:val="NoSpacing"/>
      </w:pPr>
    </w:p>
    <w:p w:rsidR="005344C8" w:rsidRDefault="005344C8" w:rsidP="00477302">
      <w:bookmarkStart w:id="0" w:name="_GoBack"/>
      <w:bookmarkEnd w:id="0"/>
    </w:p>
    <w:p w:rsidR="00477302" w:rsidRPr="00477302" w:rsidRDefault="00477302" w:rsidP="00477302">
      <w:r>
        <w:t xml:space="preserve">   </w:t>
      </w:r>
    </w:p>
    <w:sectPr w:rsidR="00477302" w:rsidRPr="0047730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C06" w:rsidRDefault="00954C06" w:rsidP="00AD3D58">
      <w:pPr>
        <w:spacing w:before="0" w:after="0"/>
      </w:pPr>
      <w:r>
        <w:separator/>
      </w:r>
    </w:p>
  </w:endnote>
  <w:endnote w:type="continuationSeparator" w:id="0">
    <w:p w:rsidR="00954C06" w:rsidRDefault="00954C06" w:rsidP="00AD3D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441072"/>
      <w:docPartObj>
        <w:docPartGallery w:val="Page Numbers (Bottom of Page)"/>
        <w:docPartUnique/>
      </w:docPartObj>
    </w:sdtPr>
    <w:sdtEndPr>
      <w:rPr>
        <w:noProof/>
      </w:rPr>
    </w:sdtEndPr>
    <w:sdtContent>
      <w:p w:rsidR="00477302" w:rsidRDefault="00477302">
        <w:pPr>
          <w:pStyle w:val="Footer"/>
          <w:jc w:val="right"/>
        </w:pPr>
        <w:r>
          <w:fldChar w:fldCharType="begin"/>
        </w:r>
        <w:r>
          <w:instrText xml:space="preserve"> PAGE   \* MERGEFORMAT </w:instrText>
        </w:r>
        <w:r>
          <w:fldChar w:fldCharType="separate"/>
        </w:r>
        <w:r w:rsidR="00112C5A">
          <w:rPr>
            <w:noProof/>
          </w:rPr>
          <w:t>8</w:t>
        </w:r>
        <w:r>
          <w:rPr>
            <w:noProof/>
          </w:rPr>
          <w:fldChar w:fldCharType="end"/>
        </w:r>
      </w:p>
    </w:sdtContent>
  </w:sdt>
  <w:p w:rsidR="00B57F29" w:rsidRDefault="00B57F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C06" w:rsidRDefault="00954C06" w:rsidP="00AD3D58">
      <w:pPr>
        <w:spacing w:before="0" w:after="0"/>
      </w:pPr>
      <w:r>
        <w:separator/>
      </w:r>
    </w:p>
  </w:footnote>
  <w:footnote w:type="continuationSeparator" w:id="0">
    <w:p w:rsidR="00954C06" w:rsidRDefault="00954C06" w:rsidP="00AD3D58">
      <w:pPr>
        <w:spacing w:before="0" w:after="0"/>
      </w:pPr>
      <w:r>
        <w:continuationSeparator/>
      </w:r>
    </w:p>
  </w:footnote>
  <w:footnote w:id="1">
    <w:p w:rsidR="00E63325" w:rsidRDefault="00E63325" w:rsidP="00E63325">
      <w:pPr>
        <w:pStyle w:val="FootnoteText"/>
        <w:contextualSpacing/>
      </w:pPr>
      <w:r>
        <w:rPr>
          <w:rStyle w:val="FootnoteReference"/>
        </w:rPr>
        <w:footnoteRef/>
      </w:r>
      <w:r>
        <w:t xml:space="preserve"> </w:t>
      </w:r>
      <w:r w:rsidRPr="00CE7476">
        <w:t xml:space="preserve">An inter vivos trust is a trust that is created and takes effect during the settlor's lifetime. BLACK'S LAW DICTIONARY 1744 (10th ed. 2014); see Glassman v. </w:t>
      </w:r>
      <w:proofErr w:type="spellStart"/>
      <w:r w:rsidRPr="00CE7476">
        <w:t>Goodfriend</w:t>
      </w:r>
      <w:proofErr w:type="spellEnd"/>
      <w:r w:rsidRPr="00CE7476">
        <w:t xml:space="preserve">, 347 S.W.3d 772, 779 (Tex. App.—Houston [14th Dist.] 2011, pet. denied); see also TEX. PROP. </w:t>
      </w:r>
      <w:proofErr w:type="gramStart"/>
      <w:r w:rsidRPr="00CE7476">
        <w:t>CODE ANN. § 111.004(14) (West, Westlaw through 2017 1st C.S.)</w:t>
      </w:r>
      <w:proofErr w:type="gramEnd"/>
      <w:r w:rsidRPr="00CE7476">
        <w:t xml:space="preserve"> (</w:t>
      </w:r>
      <w:proofErr w:type="gramStart"/>
      <w:r w:rsidRPr="00CE7476">
        <w:t>defining</w:t>
      </w:r>
      <w:proofErr w:type="gramEnd"/>
      <w:r w:rsidRPr="00CE7476">
        <w:t xml:space="preserve"> settlor).</w:t>
      </w:r>
    </w:p>
  </w:footnote>
  <w:footnote w:id="2">
    <w:p w:rsidR="00E63325" w:rsidRDefault="00E63325" w:rsidP="00E63325">
      <w:pPr>
        <w:pStyle w:val="FootnoteText"/>
        <w:contextualSpacing/>
      </w:pPr>
      <w:r>
        <w:rPr>
          <w:rStyle w:val="FootnoteReference"/>
        </w:rPr>
        <w:footnoteRef/>
      </w:r>
      <w:r>
        <w:t xml:space="preserve"> Carl Brunsting, Carole Brunsting, Amy Brunsting, Anita Brunsting and Candace Curtis</w:t>
      </w:r>
    </w:p>
  </w:footnote>
  <w:footnote w:id="3">
    <w:p w:rsidR="00E63325" w:rsidRDefault="00E63325" w:rsidP="00E63325">
      <w:pPr>
        <w:pStyle w:val="FootnoteText"/>
        <w:contextualSpacing/>
      </w:pPr>
      <w:r>
        <w:rPr>
          <w:rStyle w:val="FootnoteReference"/>
        </w:rPr>
        <w:footnoteRef/>
      </w:r>
      <w:r>
        <w:t xml:space="preserve"> </w:t>
      </w:r>
    </w:p>
    <w:p w:rsidR="00E63325" w:rsidRDefault="00E63325" w:rsidP="00E63325">
      <w:pPr>
        <w:pStyle w:val="FootnoteText"/>
        <w:numPr>
          <w:ilvl w:val="0"/>
          <w:numId w:val="16"/>
        </w:numPr>
        <w:contextualSpacing/>
      </w:pPr>
      <w:r>
        <w:t>2007-06-26 Questions, allegations surround Texas probate courts - Houston Chronicle</w:t>
      </w:r>
    </w:p>
    <w:p w:rsidR="00E63325" w:rsidRDefault="00E63325" w:rsidP="00E63325">
      <w:pPr>
        <w:pStyle w:val="FootnoteText"/>
        <w:numPr>
          <w:ilvl w:val="0"/>
          <w:numId w:val="16"/>
        </w:numPr>
        <w:contextualSpacing/>
      </w:pPr>
      <w:r>
        <w:t>2007-06-25 Nelva email re chronicle and probate court corruption: that’s why we have the trust  (P14052)</w:t>
      </w:r>
    </w:p>
    <w:p w:rsidR="00E63325" w:rsidRDefault="00E63325" w:rsidP="00E63325">
      <w:pPr>
        <w:pStyle w:val="FootnoteText"/>
        <w:numPr>
          <w:ilvl w:val="0"/>
          <w:numId w:val="16"/>
        </w:numPr>
        <w:contextualSpacing/>
      </w:pPr>
      <w:r>
        <w:t>2007-04-05 Nelva email to Anita - Divided Equally</w:t>
      </w:r>
    </w:p>
    <w:p w:rsidR="00E63325" w:rsidRDefault="00E63325" w:rsidP="00E63325">
      <w:pPr>
        <w:pStyle w:val="FootnoteText"/>
        <w:numPr>
          <w:ilvl w:val="0"/>
          <w:numId w:val="16"/>
        </w:numPr>
        <w:contextualSpacing/>
      </w:pPr>
      <w:r>
        <w:t>2007-08-03 Nelva email to Amy - Candy to be co-trustee - Divided Equally</w:t>
      </w:r>
    </w:p>
    <w:p w:rsidR="00E63325" w:rsidRDefault="00E63325" w:rsidP="00E63325">
      <w:pPr>
        <w:pStyle w:val="FootnoteText"/>
        <w:numPr>
          <w:ilvl w:val="0"/>
          <w:numId w:val="16"/>
        </w:numPr>
        <w:contextualSpacing/>
      </w:pPr>
      <w:r>
        <w:t>2008-03-04 Nelva email to Candy Divided Equally Tuesday March 04 2008</w:t>
      </w:r>
    </w:p>
    <w:p w:rsidR="00E63325" w:rsidRDefault="00E63325" w:rsidP="00E63325">
      <w:pPr>
        <w:pStyle w:val="FootnoteText"/>
        <w:numPr>
          <w:ilvl w:val="0"/>
          <w:numId w:val="16"/>
        </w:numPr>
        <w:contextualSpacing/>
      </w:pPr>
      <w:r>
        <w:t>2008-04-04 Nelva emails Candy: Divided Equally</w:t>
      </w:r>
    </w:p>
  </w:footnote>
  <w:footnote w:id="4">
    <w:p w:rsidR="00E63325" w:rsidRDefault="00E63325" w:rsidP="00E63325">
      <w:pPr>
        <w:pStyle w:val="FootnoteText"/>
        <w:contextualSpacing/>
      </w:pPr>
      <w:r>
        <w:rPr>
          <w:rStyle w:val="FootnoteReference"/>
        </w:rPr>
        <w:footnoteRef/>
      </w:r>
      <w:r>
        <w:t xml:space="preserve"> 2005 Restatement as amended in 2007</w:t>
      </w:r>
    </w:p>
  </w:footnote>
  <w:footnote w:id="5">
    <w:p w:rsidR="00E63325" w:rsidRDefault="00E63325" w:rsidP="00E63325">
      <w:pPr>
        <w:pStyle w:val="FootnoteText"/>
        <w:contextualSpacing/>
      </w:pPr>
      <w:r>
        <w:rPr>
          <w:rStyle w:val="FootnoteReference"/>
        </w:rPr>
        <w:footnoteRef/>
      </w:r>
      <w:r>
        <w:t xml:space="preserve"> Tex. Est. § 101.001</w:t>
      </w:r>
    </w:p>
  </w:footnote>
  <w:footnote w:id="6">
    <w:p w:rsidR="0066426B" w:rsidRDefault="0066426B">
      <w:pPr>
        <w:pStyle w:val="FootnoteText"/>
      </w:pPr>
      <w:r>
        <w:rPr>
          <w:rStyle w:val="FootnoteReference"/>
        </w:rPr>
        <w:footnoteRef/>
      </w:r>
      <w:r>
        <w:t xml:space="preserve"> See Bill of Review Page 37 </w:t>
      </w:r>
      <w:proofErr w:type="spellStart"/>
      <w:r>
        <w:t>para</w:t>
      </w:r>
      <w:proofErr w:type="spellEnd"/>
      <w:r>
        <w:t xml:space="preserve"> 75 to page 39 or transcript of march 9, 2016 </w:t>
      </w:r>
    </w:p>
  </w:footnote>
  <w:footnote w:id="7">
    <w:p w:rsidR="00AD3D58" w:rsidRDefault="00AD3D58">
      <w:pPr>
        <w:pStyle w:val="FootnoteText"/>
      </w:pPr>
      <w:r>
        <w:rPr>
          <w:rStyle w:val="FootnoteReference"/>
        </w:rPr>
        <w:footnoteRef/>
      </w:r>
      <w:r>
        <w:t xml:space="preserve"> See Texas Supreme Court in </w:t>
      </w:r>
      <w:r w:rsidRPr="00AD3D58">
        <w:t>Valdez v. Hollenbeck, 465 S.W.3d 217 (Tex. 2015)</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F5706"/>
    <w:multiLevelType w:val="hybridMultilevel"/>
    <w:tmpl w:val="D92C05F2"/>
    <w:lvl w:ilvl="0" w:tplc="593E260C">
      <w:start w:val="1"/>
      <w:numFmt w:val="decimal"/>
      <w:lvlText w:val="%1."/>
      <w:lvlJc w:val="left"/>
      <w:pPr>
        <w:ind w:left="360" w:hanging="360"/>
      </w:pPr>
      <w:rPr>
        <w:rFonts w:hint="default"/>
      </w:rPr>
    </w:lvl>
    <w:lvl w:ilvl="1" w:tplc="8192510E">
      <w:start w:val="1"/>
      <w:numFmt w:val="lowerLetter"/>
      <w:lvlText w:val="%2."/>
      <w:lvlJc w:val="left"/>
      <w:pPr>
        <w:ind w:left="1440" w:hanging="360"/>
      </w:pPr>
    </w:lvl>
    <w:lvl w:ilvl="2" w:tplc="251AB490">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51376E"/>
    <w:multiLevelType w:val="hybridMultilevel"/>
    <w:tmpl w:val="B964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535052"/>
    <w:multiLevelType w:val="hybridMultilevel"/>
    <w:tmpl w:val="B8589052"/>
    <w:lvl w:ilvl="0" w:tplc="38BC17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A72C41"/>
    <w:multiLevelType w:val="hybridMultilevel"/>
    <w:tmpl w:val="DEE21664"/>
    <w:lvl w:ilvl="0" w:tplc="04090001">
      <w:start w:val="1"/>
      <w:numFmt w:val="bullet"/>
      <w:lvlText w:val=""/>
      <w:lvlJc w:val="left"/>
      <w:pPr>
        <w:ind w:left="360" w:hanging="360"/>
      </w:pPr>
      <w:rPr>
        <w:rFonts w:ascii="Symbol" w:hAnsi="Symbol" w:hint="default"/>
      </w:rPr>
    </w:lvl>
    <w:lvl w:ilvl="1" w:tplc="D3D07506">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44043BB"/>
    <w:multiLevelType w:val="hybridMultilevel"/>
    <w:tmpl w:val="5428FE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28508C"/>
    <w:multiLevelType w:val="hybridMultilevel"/>
    <w:tmpl w:val="CA2C9510"/>
    <w:lvl w:ilvl="0" w:tplc="21E6FF2A">
      <w:start w:val="1"/>
      <w:numFmt w:val="lowerLetter"/>
      <w:pStyle w:val="Bayless"/>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4565D82"/>
    <w:multiLevelType w:val="hybridMultilevel"/>
    <w:tmpl w:val="4EC2DD52"/>
    <w:lvl w:ilvl="0" w:tplc="39F02D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BF5A39"/>
    <w:multiLevelType w:val="hybridMultilevel"/>
    <w:tmpl w:val="EB78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3F66D5"/>
    <w:multiLevelType w:val="hybridMultilevel"/>
    <w:tmpl w:val="A710B136"/>
    <w:lvl w:ilvl="0" w:tplc="DF8C9B90">
      <w:start w:val="1"/>
      <w:numFmt w:val="decimal"/>
      <w:pStyle w:val="NumPara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AC6CA7"/>
    <w:multiLevelType w:val="hybridMultilevel"/>
    <w:tmpl w:val="F13AFF16"/>
    <w:lvl w:ilvl="0" w:tplc="A71684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9"/>
  </w:num>
  <w:num w:numId="12">
    <w:abstractNumId w:val="9"/>
    <w:lvlOverride w:ilvl="0">
      <w:startOverride w:val="1"/>
    </w:lvlOverride>
  </w:num>
  <w:num w:numId="13">
    <w:abstractNumId w:val="2"/>
  </w:num>
  <w:num w:numId="14">
    <w:abstractNumId w:val="8"/>
  </w:num>
  <w:num w:numId="15">
    <w:abstractNumId w:val="5"/>
  </w:num>
  <w:num w:numId="16">
    <w:abstractNumId w:val="7"/>
  </w:num>
  <w:num w:numId="17">
    <w:abstractNumId w:val="4"/>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CC7"/>
    <w:rsid w:val="0001334A"/>
    <w:rsid w:val="00037BA7"/>
    <w:rsid w:val="00093585"/>
    <w:rsid w:val="00097D4E"/>
    <w:rsid w:val="000F30A5"/>
    <w:rsid w:val="000F545F"/>
    <w:rsid w:val="000F738F"/>
    <w:rsid w:val="00112C5A"/>
    <w:rsid w:val="001456C9"/>
    <w:rsid w:val="001D0B0A"/>
    <w:rsid w:val="001D6254"/>
    <w:rsid w:val="00237452"/>
    <w:rsid w:val="00271110"/>
    <w:rsid w:val="002D7CE9"/>
    <w:rsid w:val="00306186"/>
    <w:rsid w:val="003744AE"/>
    <w:rsid w:val="00381CB5"/>
    <w:rsid w:val="003868B2"/>
    <w:rsid w:val="0039434C"/>
    <w:rsid w:val="00397E59"/>
    <w:rsid w:val="003B11B2"/>
    <w:rsid w:val="003B4DEB"/>
    <w:rsid w:val="003F4B40"/>
    <w:rsid w:val="0040423D"/>
    <w:rsid w:val="00445D34"/>
    <w:rsid w:val="00477302"/>
    <w:rsid w:val="004D669D"/>
    <w:rsid w:val="005157AC"/>
    <w:rsid w:val="005344C8"/>
    <w:rsid w:val="00553C13"/>
    <w:rsid w:val="0058185F"/>
    <w:rsid w:val="00583191"/>
    <w:rsid w:val="005D6364"/>
    <w:rsid w:val="00645B4C"/>
    <w:rsid w:val="0066426B"/>
    <w:rsid w:val="00677990"/>
    <w:rsid w:val="00697871"/>
    <w:rsid w:val="006A2723"/>
    <w:rsid w:val="00702BF3"/>
    <w:rsid w:val="00705531"/>
    <w:rsid w:val="00705F47"/>
    <w:rsid w:val="00706134"/>
    <w:rsid w:val="0071449D"/>
    <w:rsid w:val="00721920"/>
    <w:rsid w:val="007353DC"/>
    <w:rsid w:val="007D1A5A"/>
    <w:rsid w:val="00830171"/>
    <w:rsid w:val="008339FA"/>
    <w:rsid w:val="00854C1A"/>
    <w:rsid w:val="00873FED"/>
    <w:rsid w:val="008C3A80"/>
    <w:rsid w:val="008D67D1"/>
    <w:rsid w:val="00901922"/>
    <w:rsid w:val="00911CC7"/>
    <w:rsid w:val="00950776"/>
    <w:rsid w:val="00954C06"/>
    <w:rsid w:val="00960C83"/>
    <w:rsid w:val="009D58E6"/>
    <w:rsid w:val="009D75C0"/>
    <w:rsid w:val="009F5EC9"/>
    <w:rsid w:val="00A0150B"/>
    <w:rsid w:val="00A148A8"/>
    <w:rsid w:val="00A17B47"/>
    <w:rsid w:val="00A237F9"/>
    <w:rsid w:val="00A57501"/>
    <w:rsid w:val="00A666CE"/>
    <w:rsid w:val="00AB0B1E"/>
    <w:rsid w:val="00AC0531"/>
    <w:rsid w:val="00AD3D58"/>
    <w:rsid w:val="00AE5854"/>
    <w:rsid w:val="00AF4979"/>
    <w:rsid w:val="00B57F29"/>
    <w:rsid w:val="00B64FE7"/>
    <w:rsid w:val="00B7185F"/>
    <w:rsid w:val="00B90310"/>
    <w:rsid w:val="00BE23EE"/>
    <w:rsid w:val="00C15BB8"/>
    <w:rsid w:val="00C67045"/>
    <w:rsid w:val="00C84724"/>
    <w:rsid w:val="00D154AF"/>
    <w:rsid w:val="00D466ED"/>
    <w:rsid w:val="00D653E0"/>
    <w:rsid w:val="00D87BEA"/>
    <w:rsid w:val="00D93C52"/>
    <w:rsid w:val="00DB5BF1"/>
    <w:rsid w:val="00E63325"/>
    <w:rsid w:val="00F22058"/>
    <w:rsid w:val="00FD21A6"/>
    <w:rsid w:val="00FE5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6ED"/>
    <w:rPr>
      <w:rFonts w:ascii="Times New Roman" w:hAnsi="Times New Roman" w:cs="Times New Roman"/>
      <w:sz w:val="24"/>
      <w:szCs w:val="28"/>
    </w:rPr>
  </w:style>
  <w:style w:type="paragraph" w:styleId="Heading1">
    <w:name w:val="heading 1"/>
    <w:basedOn w:val="Normal"/>
    <w:next w:val="Normal"/>
    <w:link w:val="Heading1Char"/>
    <w:autoRedefine/>
    <w:uiPriority w:val="9"/>
    <w:qFormat/>
    <w:rsid w:val="00553C13"/>
    <w:pPr>
      <w:keepNext/>
      <w:keepLines/>
      <w:spacing w:before="240"/>
      <w:ind w:left="360" w:hanging="360"/>
      <w:jc w:val="center"/>
      <w:outlineLvl w:val="0"/>
    </w:pPr>
    <w:rPr>
      <w:rFonts w:eastAsiaTheme="majorEastAsia"/>
      <w:b/>
      <w:sz w:val="32"/>
      <w:szCs w:val="32"/>
    </w:rPr>
  </w:style>
  <w:style w:type="paragraph" w:styleId="Heading2">
    <w:name w:val="heading 2"/>
    <w:basedOn w:val="Normal"/>
    <w:next w:val="Normal"/>
    <w:link w:val="Heading2Char"/>
    <w:autoRedefine/>
    <w:uiPriority w:val="9"/>
    <w:unhideWhenUsed/>
    <w:qFormat/>
    <w:rsid w:val="008D67D1"/>
    <w:pPr>
      <w:spacing w:before="240" w:after="240"/>
      <w:outlineLvl w:val="1"/>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autoRedefine/>
    <w:uiPriority w:val="29"/>
    <w:qFormat/>
    <w:rsid w:val="00093585"/>
    <w:pPr>
      <w:ind w:left="720" w:right="720"/>
      <w:contextualSpacing/>
      <w:jc w:val="left"/>
    </w:pPr>
    <w:rPr>
      <w:i/>
      <w:iCs/>
      <w:color w:val="404040" w:themeColor="text1" w:themeTint="BF"/>
    </w:rPr>
  </w:style>
  <w:style w:type="character" w:customStyle="1" w:styleId="QuoteChar">
    <w:name w:val="Quote Char"/>
    <w:basedOn w:val="DefaultParagraphFont"/>
    <w:link w:val="Quote"/>
    <w:uiPriority w:val="29"/>
    <w:rsid w:val="00093585"/>
    <w:rPr>
      <w:rFonts w:ascii="Times New Roman" w:hAnsi="Times New Roman" w:cs="Times New Roman"/>
      <w:i/>
      <w:iCs/>
      <w:color w:val="404040" w:themeColor="text1" w:themeTint="BF"/>
      <w:sz w:val="24"/>
      <w:szCs w:val="28"/>
    </w:rPr>
  </w:style>
  <w:style w:type="character" w:customStyle="1" w:styleId="Heading1Char">
    <w:name w:val="Heading 1 Char"/>
    <w:basedOn w:val="DefaultParagraphFont"/>
    <w:link w:val="Heading1"/>
    <w:uiPriority w:val="9"/>
    <w:rsid w:val="00553C13"/>
    <w:rPr>
      <w:rFonts w:ascii="Times New Roman" w:eastAsiaTheme="majorEastAsia" w:hAnsi="Times New Roman" w:cs="Times New Roman"/>
      <w:b/>
      <w:sz w:val="32"/>
      <w:szCs w:val="32"/>
    </w:rPr>
  </w:style>
  <w:style w:type="character" w:customStyle="1" w:styleId="Heading2Char">
    <w:name w:val="Heading 2 Char"/>
    <w:basedOn w:val="DefaultParagraphFont"/>
    <w:link w:val="Heading2"/>
    <w:uiPriority w:val="9"/>
    <w:rsid w:val="008D67D1"/>
    <w:rPr>
      <w:rFonts w:ascii="Times New Roman" w:hAnsi="Times New Roman" w:cs="Times New Roman"/>
      <w:b/>
      <w:sz w:val="24"/>
      <w:szCs w:val="28"/>
    </w:rPr>
  </w:style>
  <w:style w:type="paragraph" w:customStyle="1" w:styleId="NumPara1">
    <w:name w:val="Num Para 1"/>
    <w:basedOn w:val="ListParagraph"/>
    <w:link w:val="NumPara1Char"/>
    <w:autoRedefine/>
    <w:qFormat/>
    <w:rsid w:val="002D7CE9"/>
    <w:pPr>
      <w:numPr>
        <w:numId w:val="14"/>
      </w:numPr>
      <w:ind w:hanging="720"/>
      <w:contextualSpacing w:val="0"/>
    </w:pPr>
  </w:style>
  <w:style w:type="character" w:customStyle="1" w:styleId="NumPara1Char">
    <w:name w:val="Num Para 1 Char"/>
    <w:basedOn w:val="DefaultParagraphFont"/>
    <w:link w:val="NumPara1"/>
    <w:rsid w:val="002D7CE9"/>
    <w:rPr>
      <w:rFonts w:ascii="Times New Roman" w:hAnsi="Times New Roman" w:cs="Times New Roman"/>
      <w:sz w:val="24"/>
      <w:szCs w:val="28"/>
    </w:rPr>
  </w:style>
  <w:style w:type="paragraph" w:styleId="ListParagraph">
    <w:name w:val="List Paragraph"/>
    <w:basedOn w:val="Normal"/>
    <w:uiPriority w:val="34"/>
    <w:qFormat/>
    <w:rsid w:val="001D0B0A"/>
    <w:pPr>
      <w:contextualSpacing/>
    </w:pPr>
  </w:style>
  <w:style w:type="paragraph" w:customStyle="1" w:styleId="TOC">
    <w:name w:val="TOC"/>
    <w:basedOn w:val="TOCHeading"/>
    <w:link w:val="TOCChar"/>
    <w:autoRedefine/>
    <w:qFormat/>
    <w:rsid w:val="001D0B0A"/>
    <w:pPr>
      <w:spacing w:before="120" w:line="240" w:lineRule="auto"/>
      <w:ind w:left="360"/>
      <w:jc w:val="left"/>
    </w:pPr>
    <w:rPr>
      <w:rFonts w:ascii="Times New Roman" w:hAnsi="Times New Roman"/>
      <w:lang w:eastAsia="ja-JP"/>
    </w:rPr>
  </w:style>
  <w:style w:type="character" w:customStyle="1" w:styleId="TOCChar">
    <w:name w:val="TOC Char"/>
    <w:basedOn w:val="DefaultParagraphFont"/>
    <w:link w:val="TOC"/>
    <w:rsid w:val="001D0B0A"/>
    <w:rPr>
      <w:rFonts w:ascii="Times New Roman" w:eastAsiaTheme="majorEastAsia" w:hAnsi="Times New Roman" w:cstheme="majorBidi"/>
      <w:b/>
      <w:bCs/>
      <w:color w:val="2E74B5" w:themeColor="accent1" w:themeShade="BF"/>
      <w:sz w:val="28"/>
      <w:szCs w:val="28"/>
      <w:lang w:eastAsia="ja-JP"/>
    </w:rPr>
  </w:style>
  <w:style w:type="paragraph" w:styleId="TOCHeading">
    <w:name w:val="TOC Heading"/>
    <w:basedOn w:val="Heading1"/>
    <w:next w:val="Normal"/>
    <w:uiPriority w:val="39"/>
    <w:semiHidden/>
    <w:unhideWhenUsed/>
    <w:qFormat/>
    <w:rsid w:val="001D0B0A"/>
    <w:pPr>
      <w:spacing w:before="480" w:after="0" w:line="480" w:lineRule="auto"/>
      <w:ind w:left="0" w:firstLine="0"/>
      <w:jc w:val="both"/>
      <w:outlineLvl w:val="9"/>
    </w:pPr>
    <w:rPr>
      <w:rFonts w:asciiTheme="majorHAnsi" w:hAnsiTheme="majorHAnsi" w:cstheme="majorBidi"/>
      <w:b w:val="0"/>
      <w:bCs/>
      <w:color w:val="2E74B5" w:themeColor="accent1" w:themeShade="BF"/>
      <w:sz w:val="28"/>
      <w:szCs w:val="28"/>
    </w:rPr>
  </w:style>
  <w:style w:type="paragraph" w:styleId="TOC1">
    <w:name w:val="toc 1"/>
    <w:basedOn w:val="Normal"/>
    <w:next w:val="Normal"/>
    <w:autoRedefine/>
    <w:uiPriority w:val="39"/>
    <w:unhideWhenUsed/>
    <w:rsid w:val="00C67045"/>
    <w:pPr>
      <w:spacing w:before="360" w:after="0"/>
      <w:jc w:val="left"/>
    </w:pPr>
    <w:rPr>
      <w:b/>
      <w:bCs/>
      <w:caps/>
      <w:szCs w:val="24"/>
    </w:rPr>
  </w:style>
  <w:style w:type="paragraph" w:styleId="FootnoteText">
    <w:name w:val="footnote text"/>
    <w:basedOn w:val="Normal"/>
    <w:link w:val="FootnoteTextChar"/>
    <w:uiPriority w:val="99"/>
    <w:semiHidden/>
    <w:unhideWhenUsed/>
    <w:rsid w:val="00AD3D58"/>
    <w:pPr>
      <w:spacing w:before="0" w:after="0"/>
    </w:pPr>
    <w:rPr>
      <w:sz w:val="20"/>
      <w:szCs w:val="20"/>
    </w:rPr>
  </w:style>
  <w:style w:type="character" w:customStyle="1" w:styleId="FootnoteTextChar">
    <w:name w:val="Footnote Text Char"/>
    <w:basedOn w:val="DefaultParagraphFont"/>
    <w:link w:val="FootnoteText"/>
    <w:uiPriority w:val="99"/>
    <w:semiHidden/>
    <w:rsid w:val="00AD3D58"/>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AD3D58"/>
    <w:rPr>
      <w:vertAlign w:val="superscript"/>
    </w:rPr>
  </w:style>
  <w:style w:type="table" w:styleId="TableGrid">
    <w:name w:val="Table Grid"/>
    <w:basedOn w:val="TableNormal"/>
    <w:uiPriority w:val="39"/>
    <w:rsid w:val="003744A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rif">
    <w:name w:val="serif"/>
    <w:basedOn w:val="DefaultParagraphFont"/>
    <w:rsid w:val="00AF4979"/>
  </w:style>
  <w:style w:type="paragraph" w:styleId="NoSpacing">
    <w:name w:val="No Spacing"/>
    <w:uiPriority w:val="1"/>
    <w:qFormat/>
    <w:rsid w:val="00AF4979"/>
    <w:pPr>
      <w:spacing w:before="0" w:after="0"/>
    </w:pPr>
    <w:rPr>
      <w:rFonts w:ascii="Times New Roman" w:hAnsi="Times New Roman" w:cs="Times New Roman"/>
      <w:sz w:val="28"/>
      <w:szCs w:val="28"/>
    </w:rPr>
  </w:style>
  <w:style w:type="paragraph" w:customStyle="1" w:styleId="blockquote">
    <w:name w:val="blockquote"/>
    <w:basedOn w:val="Normal"/>
    <w:rsid w:val="00697871"/>
    <w:pPr>
      <w:spacing w:before="100" w:beforeAutospacing="1" w:after="100" w:afterAutospacing="1"/>
      <w:jc w:val="left"/>
    </w:pPr>
    <w:rPr>
      <w:rFonts w:eastAsia="Times New Roman"/>
      <w:szCs w:val="24"/>
    </w:rPr>
  </w:style>
  <w:style w:type="character" w:styleId="Hyperlink">
    <w:name w:val="Hyperlink"/>
    <w:basedOn w:val="DefaultParagraphFont"/>
    <w:uiPriority w:val="99"/>
    <w:semiHidden/>
    <w:unhideWhenUsed/>
    <w:rsid w:val="00697871"/>
    <w:rPr>
      <w:color w:val="0000FF"/>
      <w:u w:val="single"/>
    </w:rPr>
  </w:style>
  <w:style w:type="paragraph" w:styleId="NormalWeb">
    <w:name w:val="Normal (Web)"/>
    <w:basedOn w:val="Normal"/>
    <w:uiPriority w:val="99"/>
    <w:semiHidden/>
    <w:unhideWhenUsed/>
    <w:rsid w:val="00697871"/>
    <w:pPr>
      <w:spacing w:before="100" w:beforeAutospacing="1" w:after="100" w:afterAutospacing="1"/>
      <w:jc w:val="left"/>
    </w:pPr>
    <w:rPr>
      <w:rFonts w:eastAsia="Times New Roman"/>
      <w:szCs w:val="24"/>
    </w:rPr>
  </w:style>
  <w:style w:type="paragraph" w:styleId="Header">
    <w:name w:val="header"/>
    <w:basedOn w:val="Normal"/>
    <w:link w:val="HeaderChar"/>
    <w:uiPriority w:val="99"/>
    <w:unhideWhenUsed/>
    <w:rsid w:val="00B57F29"/>
    <w:pPr>
      <w:tabs>
        <w:tab w:val="center" w:pos="4680"/>
        <w:tab w:val="right" w:pos="9360"/>
      </w:tabs>
      <w:spacing w:before="0" w:after="0"/>
    </w:pPr>
  </w:style>
  <w:style w:type="character" w:customStyle="1" w:styleId="HeaderChar">
    <w:name w:val="Header Char"/>
    <w:basedOn w:val="DefaultParagraphFont"/>
    <w:link w:val="Header"/>
    <w:uiPriority w:val="99"/>
    <w:rsid w:val="00B57F29"/>
    <w:rPr>
      <w:rFonts w:ascii="Times New Roman" w:hAnsi="Times New Roman" w:cs="Times New Roman"/>
      <w:sz w:val="28"/>
      <w:szCs w:val="28"/>
    </w:rPr>
  </w:style>
  <w:style w:type="paragraph" w:styleId="Footer">
    <w:name w:val="footer"/>
    <w:basedOn w:val="Normal"/>
    <w:link w:val="FooterChar"/>
    <w:uiPriority w:val="99"/>
    <w:unhideWhenUsed/>
    <w:rsid w:val="00B57F29"/>
    <w:pPr>
      <w:tabs>
        <w:tab w:val="center" w:pos="4680"/>
        <w:tab w:val="right" w:pos="9360"/>
      </w:tabs>
      <w:spacing w:before="0" w:after="0"/>
    </w:pPr>
  </w:style>
  <w:style w:type="character" w:customStyle="1" w:styleId="FooterChar">
    <w:name w:val="Footer Char"/>
    <w:basedOn w:val="DefaultParagraphFont"/>
    <w:link w:val="Footer"/>
    <w:uiPriority w:val="99"/>
    <w:rsid w:val="00B57F29"/>
    <w:rPr>
      <w:rFonts w:ascii="Times New Roman" w:hAnsi="Times New Roman" w:cs="Times New Roman"/>
      <w:sz w:val="28"/>
      <w:szCs w:val="28"/>
    </w:rPr>
  </w:style>
  <w:style w:type="paragraph" w:customStyle="1" w:styleId="Bayless">
    <w:name w:val="Bayless"/>
    <w:basedOn w:val="NumPara1"/>
    <w:link w:val="BaylessChar"/>
    <w:qFormat/>
    <w:rsid w:val="00E63325"/>
    <w:pPr>
      <w:numPr>
        <w:numId w:val="15"/>
      </w:numPr>
    </w:pPr>
    <w:rPr>
      <w:color w:val="C45911" w:themeColor="accent2" w:themeShade="BF"/>
    </w:rPr>
  </w:style>
  <w:style w:type="character" w:styleId="Strong">
    <w:name w:val="Strong"/>
    <w:basedOn w:val="DefaultParagraphFont"/>
    <w:uiPriority w:val="22"/>
    <w:qFormat/>
    <w:rsid w:val="00677990"/>
    <w:rPr>
      <w:b/>
      <w:bCs/>
    </w:rPr>
  </w:style>
  <w:style w:type="character" w:customStyle="1" w:styleId="BaylessChar">
    <w:name w:val="Bayless Char"/>
    <w:basedOn w:val="NumPara1Char"/>
    <w:link w:val="Bayless"/>
    <w:rsid w:val="00E63325"/>
    <w:rPr>
      <w:rFonts w:ascii="Times New Roman" w:hAnsi="Times New Roman" w:cs="Times New Roman"/>
      <w:color w:val="C45911" w:themeColor="accent2" w:themeShade="BF"/>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6ED"/>
    <w:rPr>
      <w:rFonts w:ascii="Times New Roman" w:hAnsi="Times New Roman" w:cs="Times New Roman"/>
      <w:sz w:val="24"/>
      <w:szCs w:val="28"/>
    </w:rPr>
  </w:style>
  <w:style w:type="paragraph" w:styleId="Heading1">
    <w:name w:val="heading 1"/>
    <w:basedOn w:val="Normal"/>
    <w:next w:val="Normal"/>
    <w:link w:val="Heading1Char"/>
    <w:autoRedefine/>
    <w:uiPriority w:val="9"/>
    <w:qFormat/>
    <w:rsid w:val="00553C13"/>
    <w:pPr>
      <w:keepNext/>
      <w:keepLines/>
      <w:spacing w:before="240"/>
      <w:ind w:left="360" w:hanging="360"/>
      <w:jc w:val="center"/>
      <w:outlineLvl w:val="0"/>
    </w:pPr>
    <w:rPr>
      <w:rFonts w:eastAsiaTheme="majorEastAsia"/>
      <w:b/>
      <w:sz w:val="32"/>
      <w:szCs w:val="32"/>
    </w:rPr>
  </w:style>
  <w:style w:type="paragraph" w:styleId="Heading2">
    <w:name w:val="heading 2"/>
    <w:basedOn w:val="Normal"/>
    <w:next w:val="Normal"/>
    <w:link w:val="Heading2Char"/>
    <w:autoRedefine/>
    <w:uiPriority w:val="9"/>
    <w:unhideWhenUsed/>
    <w:qFormat/>
    <w:rsid w:val="008D67D1"/>
    <w:pPr>
      <w:spacing w:before="240" w:after="240"/>
      <w:outlineLvl w:val="1"/>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autoRedefine/>
    <w:uiPriority w:val="29"/>
    <w:qFormat/>
    <w:rsid w:val="00093585"/>
    <w:pPr>
      <w:ind w:left="720" w:right="720"/>
      <w:contextualSpacing/>
      <w:jc w:val="left"/>
    </w:pPr>
    <w:rPr>
      <w:i/>
      <w:iCs/>
      <w:color w:val="404040" w:themeColor="text1" w:themeTint="BF"/>
    </w:rPr>
  </w:style>
  <w:style w:type="character" w:customStyle="1" w:styleId="QuoteChar">
    <w:name w:val="Quote Char"/>
    <w:basedOn w:val="DefaultParagraphFont"/>
    <w:link w:val="Quote"/>
    <w:uiPriority w:val="29"/>
    <w:rsid w:val="00093585"/>
    <w:rPr>
      <w:rFonts w:ascii="Times New Roman" w:hAnsi="Times New Roman" w:cs="Times New Roman"/>
      <w:i/>
      <w:iCs/>
      <w:color w:val="404040" w:themeColor="text1" w:themeTint="BF"/>
      <w:sz w:val="24"/>
      <w:szCs w:val="28"/>
    </w:rPr>
  </w:style>
  <w:style w:type="character" w:customStyle="1" w:styleId="Heading1Char">
    <w:name w:val="Heading 1 Char"/>
    <w:basedOn w:val="DefaultParagraphFont"/>
    <w:link w:val="Heading1"/>
    <w:uiPriority w:val="9"/>
    <w:rsid w:val="00553C13"/>
    <w:rPr>
      <w:rFonts w:ascii="Times New Roman" w:eastAsiaTheme="majorEastAsia" w:hAnsi="Times New Roman" w:cs="Times New Roman"/>
      <w:b/>
      <w:sz w:val="32"/>
      <w:szCs w:val="32"/>
    </w:rPr>
  </w:style>
  <w:style w:type="character" w:customStyle="1" w:styleId="Heading2Char">
    <w:name w:val="Heading 2 Char"/>
    <w:basedOn w:val="DefaultParagraphFont"/>
    <w:link w:val="Heading2"/>
    <w:uiPriority w:val="9"/>
    <w:rsid w:val="008D67D1"/>
    <w:rPr>
      <w:rFonts w:ascii="Times New Roman" w:hAnsi="Times New Roman" w:cs="Times New Roman"/>
      <w:b/>
      <w:sz w:val="24"/>
      <w:szCs w:val="28"/>
    </w:rPr>
  </w:style>
  <w:style w:type="paragraph" w:customStyle="1" w:styleId="NumPara1">
    <w:name w:val="Num Para 1"/>
    <w:basedOn w:val="ListParagraph"/>
    <w:link w:val="NumPara1Char"/>
    <w:autoRedefine/>
    <w:qFormat/>
    <w:rsid w:val="002D7CE9"/>
    <w:pPr>
      <w:numPr>
        <w:numId w:val="14"/>
      </w:numPr>
      <w:ind w:hanging="720"/>
      <w:contextualSpacing w:val="0"/>
    </w:pPr>
  </w:style>
  <w:style w:type="character" w:customStyle="1" w:styleId="NumPara1Char">
    <w:name w:val="Num Para 1 Char"/>
    <w:basedOn w:val="DefaultParagraphFont"/>
    <w:link w:val="NumPara1"/>
    <w:rsid w:val="002D7CE9"/>
    <w:rPr>
      <w:rFonts w:ascii="Times New Roman" w:hAnsi="Times New Roman" w:cs="Times New Roman"/>
      <w:sz w:val="24"/>
      <w:szCs w:val="28"/>
    </w:rPr>
  </w:style>
  <w:style w:type="paragraph" w:styleId="ListParagraph">
    <w:name w:val="List Paragraph"/>
    <w:basedOn w:val="Normal"/>
    <w:uiPriority w:val="34"/>
    <w:qFormat/>
    <w:rsid w:val="001D0B0A"/>
    <w:pPr>
      <w:contextualSpacing/>
    </w:pPr>
  </w:style>
  <w:style w:type="paragraph" w:customStyle="1" w:styleId="TOC">
    <w:name w:val="TOC"/>
    <w:basedOn w:val="TOCHeading"/>
    <w:link w:val="TOCChar"/>
    <w:autoRedefine/>
    <w:qFormat/>
    <w:rsid w:val="001D0B0A"/>
    <w:pPr>
      <w:spacing w:before="120" w:line="240" w:lineRule="auto"/>
      <w:ind w:left="360"/>
      <w:jc w:val="left"/>
    </w:pPr>
    <w:rPr>
      <w:rFonts w:ascii="Times New Roman" w:hAnsi="Times New Roman"/>
      <w:lang w:eastAsia="ja-JP"/>
    </w:rPr>
  </w:style>
  <w:style w:type="character" w:customStyle="1" w:styleId="TOCChar">
    <w:name w:val="TOC Char"/>
    <w:basedOn w:val="DefaultParagraphFont"/>
    <w:link w:val="TOC"/>
    <w:rsid w:val="001D0B0A"/>
    <w:rPr>
      <w:rFonts w:ascii="Times New Roman" w:eastAsiaTheme="majorEastAsia" w:hAnsi="Times New Roman" w:cstheme="majorBidi"/>
      <w:b/>
      <w:bCs/>
      <w:color w:val="2E74B5" w:themeColor="accent1" w:themeShade="BF"/>
      <w:sz w:val="28"/>
      <w:szCs w:val="28"/>
      <w:lang w:eastAsia="ja-JP"/>
    </w:rPr>
  </w:style>
  <w:style w:type="paragraph" w:styleId="TOCHeading">
    <w:name w:val="TOC Heading"/>
    <w:basedOn w:val="Heading1"/>
    <w:next w:val="Normal"/>
    <w:uiPriority w:val="39"/>
    <w:semiHidden/>
    <w:unhideWhenUsed/>
    <w:qFormat/>
    <w:rsid w:val="001D0B0A"/>
    <w:pPr>
      <w:spacing w:before="480" w:after="0" w:line="480" w:lineRule="auto"/>
      <w:ind w:left="0" w:firstLine="0"/>
      <w:jc w:val="both"/>
      <w:outlineLvl w:val="9"/>
    </w:pPr>
    <w:rPr>
      <w:rFonts w:asciiTheme="majorHAnsi" w:hAnsiTheme="majorHAnsi" w:cstheme="majorBidi"/>
      <w:b w:val="0"/>
      <w:bCs/>
      <w:color w:val="2E74B5" w:themeColor="accent1" w:themeShade="BF"/>
      <w:sz w:val="28"/>
      <w:szCs w:val="28"/>
    </w:rPr>
  </w:style>
  <w:style w:type="paragraph" w:styleId="TOC1">
    <w:name w:val="toc 1"/>
    <w:basedOn w:val="Normal"/>
    <w:next w:val="Normal"/>
    <w:autoRedefine/>
    <w:uiPriority w:val="39"/>
    <w:unhideWhenUsed/>
    <w:rsid w:val="00C67045"/>
    <w:pPr>
      <w:spacing w:before="360" w:after="0"/>
      <w:jc w:val="left"/>
    </w:pPr>
    <w:rPr>
      <w:b/>
      <w:bCs/>
      <w:caps/>
      <w:szCs w:val="24"/>
    </w:rPr>
  </w:style>
  <w:style w:type="paragraph" w:styleId="FootnoteText">
    <w:name w:val="footnote text"/>
    <w:basedOn w:val="Normal"/>
    <w:link w:val="FootnoteTextChar"/>
    <w:uiPriority w:val="99"/>
    <w:semiHidden/>
    <w:unhideWhenUsed/>
    <w:rsid w:val="00AD3D58"/>
    <w:pPr>
      <w:spacing w:before="0" w:after="0"/>
    </w:pPr>
    <w:rPr>
      <w:sz w:val="20"/>
      <w:szCs w:val="20"/>
    </w:rPr>
  </w:style>
  <w:style w:type="character" w:customStyle="1" w:styleId="FootnoteTextChar">
    <w:name w:val="Footnote Text Char"/>
    <w:basedOn w:val="DefaultParagraphFont"/>
    <w:link w:val="FootnoteText"/>
    <w:uiPriority w:val="99"/>
    <w:semiHidden/>
    <w:rsid w:val="00AD3D58"/>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AD3D58"/>
    <w:rPr>
      <w:vertAlign w:val="superscript"/>
    </w:rPr>
  </w:style>
  <w:style w:type="table" w:styleId="TableGrid">
    <w:name w:val="Table Grid"/>
    <w:basedOn w:val="TableNormal"/>
    <w:uiPriority w:val="39"/>
    <w:rsid w:val="003744A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rif">
    <w:name w:val="serif"/>
    <w:basedOn w:val="DefaultParagraphFont"/>
    <w:rsid w:val="00AF4979"/>
  </w:style>
  <w:style w:type="paragraph" w:styleId="NoSpacing">
    <w:name w:val="No Spacing"/>
    <w:uiPriority w:val="1"/>
    <w:qFormat/>
    <w:rsid w:val="00AF4979"/>
    <w:pPr>
      <w:spacing w:before="0" w:after="0"/>
    </w:pPr>
    <w:rPr>
      <w:rFonts w:ascii="Times New Roman" w:hAnsi="Times New Roman" w:cs="Times New Roman"/>
      <w:sz w:val="28"/>
      <w:szCs w:val="28"/>
    </w:rPr>
  </w:style>
  <w:style w:type="paragraph" w:customStyle="1" w:styleId="blockquote">
    <w:name w:val="blockquote"/>
    <w:basedOn w:val="Normal"/>
    <w:rsid w:val="00697871"/>
    <w:pPr>
      <w:spacing w:before="100" w:beforeAutospacing="1" w:after="100" w:afterAutospacing="1"/>
      <w:jc w:val="left"/>
    </w:pPr>
    <w:rPr>
      <w:rFonts w:eastAsia="Times New Roman"/>
      <w:szCs w:val="24"/>
    </w:rPr>
  </w:style>
  <w:style w:type="character" w:styleId="Hyperlink">
    <w:name w:val="Hyperlink"/>
    <w:basedOn w:val="DefaultParagraphFont"/>
    <w:uiPriority w:val="99"/>
    <w:semiHidden/>
    <w:unhideWhenUsed/>
    <w:rsid w:val="00697871"/>
    <w:rPr>
      <w:color w:val="0000FF"/>
      <w:u w:val="single"/>
    </w:rPr>
  </w:style>
  <w:style w:type="paragraph" w:styleId="NormalWeb">
    <w:name w:val="Normal (Web)"/>
    <w:basedOn w:val="Normal"/>
    <w:uiPriority w:val="99"/>
    <w:semiHidden/>
    <w:unhideWhenUsed/>
    <w:rsid w:val="00697871"/>
    <w:pPr>
      <w:spacing w:before="100" w:beforeAutospacing="1" w:after="100" w:afterAutospacing="1"/>
      <w:jc w:val="left"/>
    </w:pPr>
    <w:rPr>
      <w:rFonts w:eastAsia="Times New Roman"/>
      <w:szCs w:val="24"/>
    </w:rPr>
  </w:style>
  <w:style w:type="paragraph" w:styleId="Header">
    <w:name w:val="header"/>
    <w:basedOn w:val="Normal"/>
    <w:link w:val="HeaderChar"/>
    <w:uiPriority w:val="99"/>
    <w:unhideWhenUsed/>
    <w:rsid w:val="00B57F29"/>
    <w:pPr>
      <w:tabs>
        <w:tab w:val="center" w:pos="4680"/>
        <w:tab w:val="right" w:pos="9360"/>
      </w:tabs>
      <w:spacing w:before="0" w:after="0"/>
    </w:pPr>
  </w:style>
  <w:style w:type="character" w:customStyle="1" w:styleId="HeaderChar">
    <w:name w:val="Header Char"/>
    <w:basedOn w:val="DefaultParagraphFont"/>
    <w:link w:val="Header"/>
    <w:uiPriority w:val="99"/>
    <w:rsid w:val="00B57F29"/>
    <w:rPr>
      <w:rFonts w:ascii="Times New Roman" w:hAnsi="Times New Roman" w:cs="Times New Roman"/>
      <w:sz w:val="28"/>
      <w:szCs w:val="28"/>
    </w:rPr>
  </w:style>
  <w:style w:type="paragraph" w:styleId="Footer">
    <w:name w:val="footer"/>
    <w:basedOn w:val="Normal"/>
    <w:link w:val="FooterChar"/>
    <w:uiPriority w:val="99"/>
    <w:unhideWhenUsed/>
    <w:rsid w:val="00B57F29"/>
    <w:pPr>
      <w:tabs>
        <w:tab w:val="center" w:pos="4680"/>
        <w:tab w:val="right" w:pos="9360"/>
      </w:tabs>
      <w:spacing w:before="0" w:after="0"/>
    </w:pPr>
  </w:style>
  <w:style w:type="character" w:customStyle="1" w:styleId="FooterChar">
    <w:name w:val="Footer Char"/>
    <w:basedOn w:val="DefaultParagraphFont"/>
    <w:link w:val="Footer"/>
    <w:uiPriority w:val="99"/>
    <w:rsid w:val="00B57F29"/>
    <w:rPr>
      <w:rFonts w:ascii="Times New Roman" w:hAnsi="Times New Roman" w:cs="Times New Roman"/>
      <w:sz w:val="28"/>
      <w:szCs w:val="28"/>
    </w:rPr>
  </w:style>
  <w:style w:type="paragraph" w:customStyle="1" w:styleId="Bayless">
    <w:name w:val="Bayless"/>
    <w:basedOn w:val="NumPara1"/>
    <w:link w:val="BaylessChar"/>
    <w:qFormat/>
    <w:rsid w:val="00E63325"/>
    <w:pPr>
      <w:numPr>
        <w:numId w:val="15"/>
      </w:numPr>
    </w:pPr>
    <w:rPr>
      <w:color w:val="C45911" w:themeColor="accent2" w:themeShade="BF"/>
    </w:rPr>
  </w:style>
  <w:style w:type="character" w:styleId="Strong">
    <w:name w:val="Strong"/>
    <w:basedOn w:val="DefaultParagraphFont"/>
    <w:uiPriority w:val="22"/>
    <w:qFormat/>
    <w:rsid w:val="00677990"/>
    <w:rPr>
      <w:b/>
      <w:bCs/>
    </w:rPr>
  </w:style>
  <w:style w:type="character" w:customStyle="1" w:styleId="BaylessChar">
    <w:name w:val="Bayless Char"/>
    <w:basedOn w:val="NumPara1Char"/>
    <w:link w:val="Bayless"/>
    <w:rsid w:val="00E63325"/>
    <w:rPr>
      <w:rFonts w:ascii="Times New Roman" w:hAnsi="Times New Roman" w:cs="Times New Roman"/>
      <w:color w:val="C45911" w:themeColor="accent2" w:themeShade="BF"/>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29001">
      <w:bodyDiv w:val="1"/>
      <w:marLeft w:val="0"/>
      <w:marRight w:val="0"/>
      <w:marTop w:val="0"/>
      <w:marBottom w:val="0"/>
      <w:divBdr>
        <w:top w:val="none" w:sz="0" w:space="0" w:color="auto"/>
        <w:left w:val="none" w:sz="0" w:space="0" w:color="auto"/>
        <w:bottom w:val="none" w:sz="0" w:space="0" w:color="auto"/>
        <w:right w:val="none" w:sz="0" w:space="0" w:color="auto"/>
      </w:divBdr>
      <w:divsChild>
        <w:div w:id="870071555">
          <w:marLeft w:val="0"/>
          <w:marRight w:val="0"/>
          <w:marTop w:val="0"/>
          <w:marBottom w:val="0"/>
          <w:divBdr>
            <w:top w:val="none" w:sz="0" w:space="0" w:color="auto"/>
            <w:left w:val="none" w:sz="0" w:space="0" w:color="auto"/>
            <w:bottom w:val="none" w:sz="0" w:space="0" w:color="auto"/>
            <w:right w:val="none" w:sz="0" w:space="0" w:color="auto"/>
          </w:divBdr>
        </w:div>
      </w:divsChild>
    </w:div>
    <w:div w:id="885607501">
      <w:bodyDiv w:val="1"/>
      <w:marLeft w:val="0"/>
      <w:marRight w:val="0"/>
      <w:marTop w:val="0"/>
      <w:marBottom w:val="0"/>
      <w:divBdr>
        <w:top w:val="none" w:sz="0" w:space="0" w:color="auto"/>
        <w:left w:val="none" w:sz="0" w:space="0" w:color="auto"/>
        <w:bottom w:val="none" w:sz="0" w:space="0" w:color="auto"/>
        <w:right w:val="none" w:sz="0" w:space="0" w:color="auto"/>
      </w:divBdr>
    </w:div>
    <w:div w:id="976302693">
      <w:bodyDiv w:val="1"/>
      <w:marLeft w:val="0"/>
      <w:marRight w:val="0"/>
      <w:marTop w:val="0"/>
      <w:marBottom w:val="0"/>
      <w:divBdr>
        <w:top w:val="none" w:sz="0" w:space="0" w:color="auto"/>
        <w:left w:val="none" w:sz="0" w:space="0" w:color="auto"/>
        <w:bottom w:val="none" w:sz="0" w:space="0" w:color="auto"/>
        <w:right w:val="none" w:sz="0" w:space="0" w:color="auto"/>
      </w:divBdr>
    </w:div>
    <w:div w:id="140544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F9072-284A-488F-9901-1380F127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8</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dc:creator>
  <cp:lastModifiedBy>Rik</cp:lastModifiedBy>
  <cp:revision>9</cp:revision>
  <dcterms:created xsi:type="dcterms:W3CDTF">2019-12-10T12:42:00Z</dcterms:created>
  <dcterms:modified xsi:type="dcterms:W3CDTF">2019-12-12T00:24:00Z</dcterms:modified>
</cp:coreProperties>
</file>